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AD" w:rsidRPr="009957D8" w:rsidRDefault="003449FB" w:rsidP="00A804AD">
      <w:pPr>
        <w:autoSpaceDE w:val="0"/>
        <w:autoSpaceDN w:val="0"/>
        <w:bidi w:val="0"/>
        <w:adjustRightInd w:val="0"/>
        <w:spacing w:after="0" w:line="240" w:lineRule="auto"/>
        <w:jc w:val="both"/>
        <w:rPr>
          <w:rFonts w:asciiTheme="majorBidi" w:hAnsiTheme="majorBidi" w:cstheme="majorBidi"/>
          <w:b/>
          <w:bCs/>
          <w:color w:val="C00000"/>
          <w:sz w:val="30"/>
          <w:szCs w:val="30"/>
          <w:rtl/>
          <w:lang w:bidi="ar-IQ"/>
        </w:rPr>
      </w:pPr>
      <w:r>
        <w:rPr>
          <w:rFonts w:asciiTheme="majorBidi" w:hAnsiTheme="majorBidi" w:cstheme="majorBidi"/>
          <w:b/>
          <w:bCs/>
          <w:color w:val="C00000"/>
          <w:sz w:val="28"/>
          <w:szCs w:val="28"/>
        </w:rPr>
        <w:t>LEC.  10</w:t>
      </w:r>
      <w:bookmarkStart w:id="0" w:name="_GoBack"/>
      <w:bookmarkEnd w:id="0"/>
      <w:r w:rsidR="00A804AD">
        <w:rPr>
          <w:rFonts w:asciiTheme="majorBidi" w:hAnsiTheme="majorBidi" w:cstheme="majorBidi"/>
          <w:b/>
          <w:bCs/>
          <w:color w:val="C00000"/>
          <w:sz w:val="28"/>
          <w:szCs w:val="28"/>
        </w:rPr>
        <w:t xml:space="preserve">                                       </w:t>
      </w:r>
      <w:r w:rsidR="00A804AD">
        <w:rPr>
          <w:rFonts w:asciiTheme="majorBidi" w:hAnsiTheme="majorBidi" w:cstheme="majorBidi" w:hint="cs"/>
          <w:b/>
          <w:bCs/>
          <w:color w:val="C00000"/>
          <w:sz w:val="28"/>
          <w:szCs w:val="28"/>
          <w:rtl/>
          <w:lang w:bidi="ar-IQ"/>
        </w:rPr>
        <w:t xml:space="preserve">د.حلل الشرع                                                   </w:t>
      </w:r>
      <w:r w:rsidR="00A804AD">
        <w:rPr>
          <w:rFonts w:asciiTheme="majorBidi" w:hAnsiTheme="majorBidi" w:cstheme="majorBidi"/>
          <w:b/>
          <w:bCs/>
          <w:color w:val="C00000"/>
          <w:sz w:val="28"/>
          <w:szCs w:val="28"/>
        </w:rPr>
        <w:t xml:space="preserve">                                             </w:t>
      </w:r>
    </w:p>
    <w:p w:rsidR="00A804AD" w:rsidRDefault="00A804AD" w:rsidP="00A804AD">
      <w:pPr>
        <w:autoSpaceDE w:val="0"/>
        <w:autoSpaceDN w:val="0"/>
        <w:bidi w:val="0"/>
        <w:adjustRightInd w:val="0"/>
        <w:spacing w:after="0" w:line="240" w:lineRule="auto"/>
        <w:jc w:val="center"/>
        <w:rPr>
          <w:rFonts w:asciiTheme="majorBidi" w:hAnsiTheme="majorBidi" w:cstheme="majorBidi"/>
          <w:b/>
          <w:bCs/>
          <w:color w:val="C00000"/>
          <w:sz w:val="28"/>
          <w:szCs w:val="28"/>
          <w:highlight w:val="yellow"/>
        </w:rPr>
      </w:pPr>
    </w:p>
    <w:p w:rsidR="00A804AD" w:rsidRPr="008C208D" w:rsidRDefault="00A804AD" w:rsidP="00A804AD">
      <w:pPr>
        <w:autoSpaceDE w:val="0"/>
        <w:autoSpaceDN w:val="0"/>
        <w:bidi w:val="0"/>
        <w:adjustRightInd w:val="0"/>
        <w:spacing w:after="0" w:line="240" w:lineRule="auto"/>
        <w:jc w:val="center"/>
        <w:rPr>
          <w:rFonts w:asciiTheme="majorBidi" w:hAnsiTheme="majorBidi" w:cstheme="majorBidi"/>
          <w:b/>
          <w:bCs/>
          <w:color w:val="C00000"/>
          <w:sz w:val="28"/>
          <w:szCs w:val="28"/>
        </w:rPr>
      </w:pPr>
      <w:r w:rsidRPr="00A00FE8">
        <w:rPr>
          <w:rFonts w:asciiTheme="majorBidi" w:hAnsiTheme="majorBidi" w:cstheme="majorBidi"/>
          <w:b/>
          <w:bCs/>
          <w:color w:val="C00000"/>
          <w:sz w:val="28"/>
          <w:szCs w:val="28"/>
          <w:highlight w:val="yellow"/>
        </w:rPr>
        <w:t>Pharyngeal Pouches</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r w:rsidRPr="008C208D">
        <w:rPr>
          <w:rFonts w:asciiTheme="majorBidi" w:hAnsiTheme="majorBidi" w:cstheme="majorBidi"/>
          <w:color w:val="000000"/>
          <w:sz w:val="28"/>
          <w:szCs w:val="28"/>
        </w:rPr>
        <w:t>The human embryo has five pairs of pharyngeal pouches. The last one of these is atypical and often considered as part of the fourth. The fate of each pouch is discussed separately.</w:t>
      </w:r>
    </w:p>
    <w:p w:rsidR="00A804AD" w:rsidRPr="00A00FE8" w:rsidRDefault="00A804AD" w:rsidP="00A804AD">
      <w:pPr>
        <w:autoSpaceDE w:val="0"/>
        <w:autoSpaceDN w:val="0"/>
        <w:bidi w:val="0"/>
        <w:adjustRightInd w:val="0"/>
        <w:spacing w:after="0" w:line="240" w:lineRule="auto"/>
        <w:jc w:val="both"/>
        <w:rPr>
          <w:rFonts w:asciiTheme="majorBidi" w:hAnsiTheme="majorBidi" w:cstheme="majorBidi"/>
          <w:color w:val="000000"/>
          <w:sz w:val="16"/>
          <w:szCs w:val="16"/>
        </w:rPr>
      </w:pPr>
    </w:p>
    <w:p w:rsidR="00A804AD" w:rsidRPr="00920C66" w:rsidRDefault="00A804AD" w:rsidP="00A804AD">
      <w:pPr>
        <w:autoSpaceDE w:val="0"/>
        <w:autoSpaceDN w:val="0"/>
        <w:bidi w:val="0"/>
        <w:adjustRightInd w:val="0"/>
        <w:spacing w:after="0" w:line="240" w:lineRule="auto"/>
        <w:jc w:val="both"/>
        <w:rPr>
          <w:rFonts w:asciiTheme="majorBidi" w:hAnsiTheme="majorBidi" w:cstheme="majorBidi"/>
          <w:color w:val="8496B0" w:themeColor="text2" w:themeTint="99"/>
          <w:sz w:val="28"/>
          <w:szCs w:val="28"/>
        </w:rPr>
      </w:pPr>
      <w:r w:rsidRPr="008C208D">
        <w:rPr>
          <w:rFonts w:asciiTheme="majorBidi" w:hAnsiTheme="majorBidi" w:cstheme="majorBidi"/>
          <w:color w:val="C00000"/>
          <w:sz w:val="28"/>
          <w:szCs w:val="28"/>
        </w:rPr>
        <w:t>First pharyngeal pouch;</w:t>
      </w:r>
      <w:r>
        <w:rPr>
          <w:rFonts w:asciiTheme="majorBidi" w:hAnsiTheme="majorBidi" w:cstheme="majorBidi"/>
          <w:color w:val="C00000"/>
          <w:sz w:val="28"/>
          <w:szCs w:val="28"/>
        </w:rPr>
        <w:t xml:space="preserve"> </w:t>
      </w:r>
      <w:r w:rsidRPr="008C208D">
        <w:rPr>
          <w:rFonts w:asciiTheme="majorBidi" w:hAnsiTheme="majorBidi" w:cstheme="majorBidi"/>
          <w:color w:val="000000"/>
          <w:sz w:val="28"/>
          <w:szCs w:val="28"/>
        </w:rPr>
        <w:t xml:space="preserve">The first pharyngeal pouch forms a </w:t>
      </w:r>
      <w:proofErr w:type="spellStart"/>
      <w:r w:rsidRPr="008C208D">
        <w:rPr>
          <w:rFonts w:asciiTheme="majorBidi" w:hAnsiTheme="majorBidi" w:cstheme="majorBidi"/>
          <w:color w:val="000000"/>
          <w:sz w:val="28"/>
          <w:szCs w:val="28"/>
        </w:rPr>
        <w:t>stalklike</w:t>
      </w:r>
      <w:proofErr w:type="spellEnd"/>
      <w:r w:rsidRPr="008C208D">
        <w:rPr>
          <w:rFonts w:asciiTheme="majorBidi" w:hAnsiTheme="majorBidi" w:cstheme="majorBidi"/>
          <w:color w:val="000000"/>
          <w:sz w:val="28"/>
          <w:szCs w:val="28"/>
        </w:rPr>
        <w:t xml:space="preserve"> diverticulum</w:t>
      </w:r>
      <w:r w:rsidRPr="008C208D">
        <w:rPr>
          <w:rFonts w:asciiTheme="majorBidi" w:hAnsiTheme="majorBidi" w:cstheme="majorBidi"/>
          <w:b/>
          <w:bCs/>
          <w:color w:val="000000"/>
          <w:sz w:val="28"/>
          <w:szCs w:val="28"/>
        </w:rPr>
        <w:t xml:space="preserve"> </w:t>
      </w:r>
      <w:r w:rsidRPr="008C208D">
        <w:rPr>
          <w:rFonts w:asciiTheme="majorBidi" w:hAnsiTheme="majorBidi" w:cstheme="majorBidi"/>
          <w:color w:val="000000"/>
          <w:sz w:val="28"/>
          <w:szCs w:val="28"/>
        </w:rPr>
        <w:t xml:space="preserve">which comes in contact with the future </w:t>
      </w:r>
      <w:r w:rsidRPr="008C208D">
        <w:rPr>
          <w:rFonts w:asciiTheme="majorBidi" w:hAnsiTheme="majorBidi" w:cstheme="majorBidi"/>
          <w:b/>
          <w:bCs/>
          <w:color w:val="000000"/>
          <w:sz w:val="28"/>
          <w:szCs w:val="28"/>
        </w:rPr>
        <w:t>external auditory meatus</w:t>
      </w:r>
      <w:r w:rsidRPr="008C208D">
        <w:rPr>
          <w:rFonts w:asciiTheme="majorBidi" w:hAnsiTheme="majorBidi" w:cstheme="majorBidi"/>
          <w:color w:val="000000"/>
          <w:sz w:val="28"/>
          <w:szCs w:val="28"/>
        </w:rPr>
        <w:t xml:space="preserve">.  the diverticulum widens into a saclike structure, </w:t>
      </w:r>
      <w:r w:rsidRPr="008C208D">
        <w:rPr>
          <w:rFonts w:asciiTheme="majorBidi" w:hAnsiTheme="majorBidi" w:cstheme="majorBidi"/>
          <w:b/>
          <w:bCs/>
          <w:color w:val="000000"/>
          <w:sz w:val="28"/>
          <w:szCs w:val="28"/>
        </w:rPr>
        <w:t xml:space="preserve">middle ear cavity, </w:t>
      </w:r>
      <w:r w:rsidRPr="008C208D">
        <w:rPr>
          <w:rFonts w:asciiTheme="majorBidi" w:hAnsiTheme="majorBidi" w:cstheme="majorBidi"/>
          <w:color w:val="000000"/>
          <w:sz w:val="28"/>
          <w:szCs w:val="28"/>
        </w:rPr>
        <w:t xml:space="preserve">and the proximal part remains narrow, forming the </w:t>
      </w:r>
      <w:r w:rsidRPr="008C208D">
        <w:rPr>
          <w:rFonts w:asciiTheme="majorBidi" w:hAnsiTheme="majorBidi" w:cstheme="majorBidi"/>
          <w:b/>
          <w:bCs/>
          <w:color w:val="000000"/>
          <w:sz w:val="28"/>
          <w:szCs w:val="28"/>
        </w:rPr>
        <w:t>auditory</w:t>
      </w:r>
      <w:r w:rsidRPr="008C208D">
        <w:rPr>
          <w:rFonts w:asciiTheme="majorBidi" w:hAnsiTheme="majorBidi" w:cstheme="majorBidi"/>
          <w:color w:val="000000"/>
          <w:sz w:val="28"/>
          <w:szCs w:val="28"/>
        </w:rPr>
        <w:t xml:space="preserve"> (</w:t>
      </w:r>
      <w:proofErr w:type="spellStart"/>
      <w:r w:rsidRPr="008C208D">
        <w:rPr>
          <w:rFonts w:asciiTheme="majorBidi" w:hAnsiTheme="majorBidi" w:cstheme="majorBidi"/>
          <w:b/>
          <w:bCs/>
          <w:color w:val="000000"/>
          <w:sz w:val="28"/>
          <w:szCs w:val="28"/>
        </w:rPr>
        <w:t>eustachian</w:t>
      </w:r>
      <w:proofErr w:type="spellEnd"/>
      <w:r w:rsidRPr="008C208D">
        <w:rPr>
          <w:rFonts w:asciiTheme="majorBidi" w:hAnsiTheme="majorBidi" w:cstheme="majorBidi"/>
          <w:color w:val="000000"/>
          <w:sz w:val="28"/>
          <w:szCs w:val="28"/>
        </w:rPr>
        <w:t xml:space="preserve">) </w:t>
      </w:r>
      <w:r w:rsidRPr="008C208D">
        <w:rPr>
          <w:rFonts w:asciiTheme="majorBidi" w:hAnsiTheme="majorBidi" w:cstheme="majorBidi"/>
          <w:b/>
          <w:bCs/>
          <w:color w:val="000000"/>
          <w:sz w:val="28"/>
          <w:szCs w:val="28"/>
        </w:rPr>
        <w:t xml:space="preserve">tube. </w:t>
      </w:r>
      <w:r>
        <w:rPr>
          <w:rFonts w:asciiTheme="majorBidi" w:eastAsia="Times New Roman" w:hAnsiTheme="majorBidi" w:cstheme="majorBidi"/>
          <w:color w:val="222222"/>
          <w:sz w:val="28"/>
          <w:szCs w:val="28"/>
        </w:rPr>
        <w:t>D</w:t>
      </w:r>
      <w:r w:rsidRPr="008C208D">
        <w:rPr>
          <w:rFonts w:asciiTheme="majorBidi" w:eastAsia="Times New Roman" w:hAnsiTheme="majorBidi" w:cstheme="majorBidi"/>
          <w:color w:val="222222"/>
          <w:sz w:val="28"/>
          <w:szCs w:val="28"/>
        </w:rPr>
        <w:t xml:space="preserve">erivatives of this pouch are supplied by </w:t>
      </w:r>
      <w:r w:rsidRPr="00920C66">
        <w:rPr>
          <w:rFonts w:asciiTheme="majorBidi" w:eastAsia="Times New Roman" w:hAnsiTheme="majorBidi" w:cstheme="majorBidi"/>
          <w:color w:val="8496B0" w:themeColor="text2" w:themeTint="99"/>
          <w:sz w:val="28"/>
          <w:szCs w:val="28"/>
        </w:rPr>
        <w:t>Mandibular nerve.</w:t>
      </w:r>
    </w:p>
    <w:p w:rsidR="00A804AD" w:rsidRPr="008C208D" w:rsidRDefault="00A804AD" w:rsidP="00A804AD">
      <w:pPr>
        <w:shd w:val="clear" w:color="auto" w:fill="FFFFFF"/>
        <w:bidi w:val="0"/>
        <w:spacing w:before="72" w:after="0" w:line="240" w:lineRule="auto"/>
        <w:jc w:val="both"/>
        <w:outlineLvl w:val="2"/>
        <w:rPr>
          <w:rFonts w:asciiTheme="majorBidi" w:eastAsia="Times New Roman" w:hAnsiTheme="majorBidi" w:cstheme="majorBidi"/>
          <w:b/>
          <w:bCs/>
          <w:color w:val="000000"/>
          <w:sz w:val="28"/>
          <w:szCs w:val="28"/>
        </w:rPr>
      </w:pPr>
      <w:r w:rsidRPr="008C208D">
        <w:rPr>
          <w:rFonts w:asciiTheme="majorBidi" w:hAnsiTheme="majorBidi" w:cstheme="majorBidi"/>
          <w:noProof/>
          <w:sz w:val="28"/>
          <w:szCs w:val="28"/>
        </w:rPr>
        <w:drawing>
          <wp:inline distT="0" distB="0" distL="0" distR="0" wp14:anchorId="32BA1FC6" wp14:editId="2961AEB2">
            <wp:extent cx="5620384" cy="2565779"/>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305" t="51136" r="25596" b="12602"/>
                    <a:stretch/>
                  </pic:blipFill>
                  <pic:spPr bwMode="auto">
                    <a:xfrm>
                      <a:off x="0" y="0"/>
                      <a:ext cx="5658322" cy="2583098"/>
                    </a:xfrm>
                    <a:prstGeom prst="rect">
                      <a:avLst/>
                    </a:prstGeom>
                    <a:ln>
                      <a:noFill/>
                    </a:ln>
                    <a:extLst>
                      <a:ext uri="{53640926-AAD7-44D8-BBD7-CCE9431645EC}">
                        <a14:shadowObscured xmlns:a14="http://schemas.microsoft.com/office/drawing/2010/main"/>
                      </a:ext>
                    </a:extLst>
                  </pic:spPr>
                </pic:pic>
              </a:graphicData>
            </a:graphic>
          </wp:inline>
        </w:drawing>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p>
    <w:p w:rsidR="00A804AD" w:rsidRPr="00A00FE8" w:rsidRDefault="00A804AD" w:rsidP="00A804AD">
      <w:pPr>
        <w:autoSpaceDE w:val="0"/>
        <w:autoSpaceDN w:val="0"/>
        <w:bidi w:val="0"/>
        <w:adjustRightInd w:val="0"/>
        <w:spacing w:after="0" w:line="240" w:lineRule="auto"/>
        <w:jc w:val="both"/>
        <w:rPr>
          <w:rFonts w:asciiTheme="majorBidi" w:hAnsiTheme="majorBidi" w:cstheme="majorBidi"/>
          <w:color w:val="C00000"/>
          <w:sz w:val="28"/>
          <w:szCs w:val="28"/>
        </w:rPr>
      </w:pPr>
      <w:r w:rsidRPr="008C208D">
        <w:rPr>
          <w:rFonts w:asciiTheme="majorBidi" w:hAnsiTheme="majorBidi" w:cstheme="majorBidi"/>
          <w:color w:val="C00000"/>
          <w:sz w:val="28"/>
          <w:szCs w:val="28"/>
        </w:rPr>
        <w:t>Second pharyngeal pouch</w:t>
      </w:r>
      <w:r>
        <w:rPr>
          <w:rFonts w:asciiTheme="majorBidi" w:hAnsiTheme="majorBidi" w:cstheme="majorBidi"/>
          <w:color w:val="C00000"/>
          <w:sz w:val="28"/>
          <w:szCs w:val="28"/>
        </w:rPr>
        <w:t xml:space="preserve">; </w:t>
      </w:r>
      <w:r w:rsidRPr="008C208D">
        <w:rPr>
          <w:rFonts w:asciiTheme="majorBidi" w:hAnsiTheme="majorBidi" w:cstheme="majorBidi"/>
          <w:color w:val="000000"/>
          <w:sz w:val="28"/>
          <w:szCs w:val="28"/>
        </w:rPr>
        <w:t xml:space="preserve">The epithelial lining of this pouch proliferates and forms buds. The buds are secondarily invaded by mesodermal tissue, forming the primordium of the </w:t>
      </w:r>
      <w:r w:rsidRPr="008C208D">
        <w:rPr>
          <w:rFonts w:asciiTheme="majorBidi" w:hAnsiTheme="majorBidi" w:cstheme="majorBidi"/>
          <w:b/>
          <w:bCs/>
          <w:color w:val="000000"/>
          <w:sz w:val="28"/>
          <w:szCs w:val="28"/>
        </w:rPr>
        <w:t>palatine tonsil.</w:t>
      </w:r>
      <w:r w:rsidRPr="008C208D">
        <w:rPr>
          <w:rFonts w:asciiTheme="majorBidi" w:hAnsiTheme="majorBidi" w:cstheme="majorBidi"/>
          <w:color w:val="000000"/>
          <w:sz w:val="28"/>
          <w:szCs w:val="28"/>
        </w:rPr>
        <w:t xml:space="preserve"> During the third and fifth months, the tonsil is infiltrated by</w:t>
      </w:r>
      <w:r w:rsidRPr="008C208D">
        <w:rPr>
          <w:rFonts w:asciiTheme="majorBidi" w:hAnsiTheme="majorBidi" w:cstheme="majorBidi"/>
          <w:b/>
          <w:bCs/>
          <w:color w:val="000000"/>
          <w:sz w:val="28"/>
          <w:szCs w:val="28"/>
        </w:rPr>
        <w:t xml:space="preserve"> </w:t>
      </w:r>
      <w:r w:rsidRPr="008C208D">
        <w:rPr>
          <w:rFonts w:asciiTheme="majorBidi" w:hAnsiTheme="majorBidi" w:cstheme="majorBidi"/>
          <w:color w:val="000000"/>
          <w:sz w:val="28"/>
          <w:szCs w:val="28"/>
        </w:rPr>
        <w:t xml:space="preserve">lymphatic tissue; it's </w:t>
      </w:r>
      <w:r w:rsidRPr="008C208D">
        <w:rPr>
          <w:rFonts w:asciiTheme="majorBidi" w:eastAsia="Times New Roman" w:hAnsiTheme="majorBidi" w:cstheme="majorBidi"/>
          <w:color w:val="222222"/>
          <w:sz w:val="28"/>
          <w:szCs w:val="28"/>
        </w:rPr>
        <w:t>supplied by the </w:t>
      </w:r>
      <w:hyperlink r:id="rId8" w:tooltip="Facial nerve" w:history="1">
        <w:r w:rsidRPr="008C208D">
          <w:rPr>
            <w:rFonts w:asciiTheme="majorBidi" w:eastAsia="Times New Roman" w:hAnsiTheme="majorBidi" w:cstheme="majorBidi"/>
            <w:color w:val="0B0080"/>
            <w:sz w:val="28"/>
            <w:szCs w:val="28"/>
          </w:rPr>
          <w:t>facial nerve</w:t>
        </w:r>
      </w:hyperlink>
      <w:r w:rsidRPr="008C208D">
        <w:rPr>
          <w:rFonts w:asciiTheme="majorBidi" w:eastAsia="Times New Roman" w:hAnsiTheme="majorBidi" w:cstheme="majorBidi"/>
          <w:color w:val="222222"/>
          <w:sz w:val="28"/>
          <w:szCs w:val="28"/>
        </w:rPr>
        <w:t>.</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p>
    <w:p w:rsidR="00A804AD" w:rsidRDefault="00A804AD" w:rsidP="00A804AD">
      <w:pPr>
        <w:autoSpaceDE w:val="0"/>
        <w:autoSpaceDN w:val="0"/>
        <w:bidi w:val="0"/>
        <w:adjustRightInd w:val="0"/>
        <w:spacing w:after="0" w:line="240" w:lineRule="auto"/>
        <w:jc w:val="both"/>
        <w:rPr>
          <w:rFonts w:asciiTheme="majorBidi" w:hAnsiTheme="majorBidi" w:cstheme="majorBidi"/>
          <w:color w:val="C00000"/>
          <w:sz w:val="28"/>
          <w:szCs w:val="28"/>
        </w:rPr>
      </w:pPr>
      <w:r w:rsidRPr="008C208D">
        <w:rPr>
          <w:rFonts w:asciiTheme="majorBidi" w:hAnsiTheme="majorBidi" w:cstheme="majorBidi"/>
          <w:color w:val="C00000"/>
          <w:sz w:val="28"/>
          <w:szCs w:val="28"/>
        </w:rPr>
        <w:t>Third pharyngeal pouch</w:t>
      </w:r>
      <w:r>
        <w:rPr>
          <w:rFonts w:asciiTheme="majorBidi" w:hAnsiTheme="majorBidi" w:cstheme="majorBidi"/>
          <w:color w:val="C00000"/>
          <w:sz w:val="28"/>
          <w:szCs w:val="28"/>
        </w:rPr>
        <w:t xml:space="preserve">; </w:t>
      </w:r>
      <w:r w:rsidRPr="008C208D">
        <w:rPr>
          <w:rFonts w:asciiTheme="majorBidi" w:hAnsiTheme="majorBidi" w:cstheme="majorBidi"/>
          <w:color w:val="000000"/>
          <w:sz w:val="28"/>
          <w:szCs w:val="28"/>
        </w:rPr>
        <w:t xml:space="preserve">In the fifth week, epithelium of the third pouch differentiates into the </w:t>
      </w:r>
      <w:r w:rsidRPr="008C208D">
        <w:rPr>
          <w:rFonts w:asciiTheme="majorBidi" w:hAnsiTheme="majorBidi" w:cstheme="majorBidi"/>
          <w:b/>
          <w:bCs/>
          <w:color w:val="000000"/>
          <w:sz w:val="28"/>
          <w:szCs w:val="28"/>
        </w:rPr>
        <w:t>inferior parathyroid gland and</w:t>
      </w:r>
      <w:r w:rsidRPr="008C208D">
        <w:rPr>
          <w:rFonts w:asciiTheme="majorBidi" w:hAnsiTheme="majorBidi" w:cstheme="majorBidi"/>
          <w:color w:val="000000"/>
          <w:sz w:val="28"/>
          <w:szCs w:val="28"/>
        </w:rPr>
        <w:t xml:space="preserve"> the </w:t>
      </w:r>
      <w:r w:rsidRPr="008C208D">
        <w:rPr>
          <w:rFonts w:asciiTheme="majorBidi" w:hAnsiTheme="majorBidi" w:cstheme="majorBidi"/>
          <w:b/>
          <w:bCs/>
          <w:color w:val="000000"/>
          <w:sz w:val="28"/>
          <w:szCs w:val="28"/>
        </w:rPr>
        <w:t>thymus.</w:t>
      </w:r>
      <w:r w:rsidRPr="008C208D">
        <w:rPr>
          <w:rFonts w:asciiTheme="majorBidi" w:hAnsiTheme="majorBidi" w:cstheme="majorBidi"/>
          <w:color w:val="000000"/>
          <w:sz w:val="28"/>
          <w:szCs w:val="28"/>
        </w:rPr>
        <w:t xml:space="preserve"> The thymus then migrates pulling the </w:t>
      </w:r>
      <w:r w:rsidRPr="008C208D">
        <w:rPr>
          <w:rFonts w:asciiTheme="majorBidi" w:hAnsiTheme="majorBidi" w:cstheme="majorBidi"/>
          <w:b/>
          <w:bCs/>
          <w:color w:val="000000"/>
          <w:sz w:val="28"/>
          <w:szCs w:val="28"/>
        </w:rPr>
        <w:t xml:space="preserve">inferior parathyroid </w:t>
      </w:r>
      <w:r w:rsidRPr="008C208D">
        <w:rPr>
          <w:rFonts w:asciiTheme="majorBidi" w:hAnsiTheme="majorBidi" w:cstheme="majorBidi"/>
          <w:color w:val="000000"/>
          <w:sz w:val="28"/>
          <w:szCs w:val="28"/>
        </w:rPr>
        <w:t xml:space="preserve">with it. </w:t>
      </w:r>
    </w:p>
    <w:p w:rsidR="00A804AD" w:rsidRPr="00920C66" w:rsidRDefault="00A804AD" w:rsidP="00A804AD">
      <w:pPr>
        <w:autoSpaceDE w:val="0"/>
        <w:autoSpaceDN w:val="0"/>
        <w:bidi w:val="0"/>
        <w:adjustRightInd w:val="0"/>
        <w:spacing w:after="0" w:line="240" w:lineRule="auto"/>
        <w:jc w:val="both"/>
        <w:rPr>
          <w:rFonts w:asciiTheme="majorBidi" w:hAnsiTheme="majorBidi" w:cstheme="majorBidi"/>
          <w:color w:val="C00000"/>
          <w:sz w:val="16"/>
          <w:szCs w:val="16"/>
        </w:rPr>
      </w:pPr>
    </w:p>
    <w:p w:rsidR="00A804A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r w:rsidRPr="008C208D">
        <w:rPr>
          <w:rFonts w:asciiTheme="majorBidi" w:hAnsiTheme="majorBidi" w:cstheme="majorBidi"/>
          <w:color w:val="000000"/>
          <w:sz w:val="28"/>
          <w:szCs w:val="28"/>
        </w:rPr>
        <w:t>In the young child, the thymus occupies considerable space in the thorax and lies behind the sternum and anterior to the pericardium and great vessels. In older persons, it is difficult to recognize, since it is atrophied and replaced by fatty tissue.</w:t>
      </w:r>
    </w:p>
    <w:p w:rsidR="00A804AD" w:rsidRPr="00920C66" w:rsidRDefault="00A804AD" w:rsidP="00A804AD">
      <w:pPr>
        <w:autoSpaceDE w:val="0"/>
        <w:autoSpaceDN w:val="0"/>
        <w:bidi w:val="0"/>
        <w:adjustRightInd w:val="0"/>
        <w:spacing w:after="0" w:line="240" w:lineRule="auto"/>
        <w:jc w:val="both"/>
        <w:rPr>
          <w:rFonts w:asciiTheme="majorBidi" w:hAnsiTheme="majorBidi" w:cstheme="majorBidi"/>
          <w:color w:val="000000"/>
          <w:sz w:val="18"/>
          <w:szCs w:val="1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r w:rsidRPr="008C208D">
        <w:rPr>
          <w:rFonts w:asciiTheme="majorBidi" w:hAnsiTheme="majorBidi" w:cstheme="majorBidi"/>
          <w:color w:val="000000"/>
          <w:sz w:val="28"/>
          <w:szCs w:val="28"/>
        </w:rPr>
        <w:t xml:space="preserve"> The parathyroid tissue of the third pouch finally comes to rest on the dorsal surface of the thyroid gland and forms the </w:t>
      </w:r>
      <w:r w:rsidRPr="008C208D">
        <w:rPr>
          <w:rFonts w:asciiTheme="majorBidi" w:hAnsiTheme="majorBidi" w:cstheme="majorBidi"/>
          <w:b/>
          <w:bCs/>
          <w:color w:val="000000"/>
          <w:sz w:val="28"/>
          <w:szCs w:val="28"/>
        </w:rPr>
        <w:t>inferior parathyroid gland</w:t>
      </w:r>
      <w:r w:rsidRPr="008C208D">
        <w:rPr>
          <w:rFonts w:asciiTheme="majorBidi" w:hAnsiTheme="majorBidi" w:cstheme="majorBidi"/>
          <w:color w:val="000000"/>
          <w:sz w:val="28"/>
          <w:szCs w:val="28"/>
        </w:rPr>
        <w:t xml:space="preserve">. </w:t>
      </w:r>
      <w:r w:rsidRPr="008C208D">
        <w:rPr>
          <w:rFonts w:asciiTheme="majorBidi" w:eastAsia="Times New Roman" w:hAnsiTheme="majorBidi" w:cstheme="majorBidi"/>
          <w:color w:val="222222"/>
          <w:sz w:val="28"/>
          <w:szCs w:val="28"/>
        </w:rPr>
        <w:t xml:space="preserve">The main nerve supply to the derivatives of this pouch is </w:t>
      </w:r>
      <w:hyperlink r:id="rId9" w:tooltip="Glossopharyngeal nerve" w:history="1">
        <w:r w:rsidRPr="008C208D">
          <w:rPr>
            <w:rFonts w:asciiTheme="majorBidi" w:eastAsia="Times New Roman" w:hAnsiTheme="majorBidi" w:cstheme="majorBidi"/>
            <w:color w:val="0B0080"/>
            <w:sz w:val="28"/>
            <w:szCs w:val="28"/>
          </w:rPr>
          <w:t>glossopharyngeal nerve</w:t>
        </w:r>
      </w:hyperlink>
      <w:r w:rsidRPr="008C208D">
        <w:rPr>
          <w:rFonts w:asciiTheme="majorBidi" w:eastAsia="Times New Roman" w:hAnsiTheme="majorBidi" w:cstheme="majorBidi"/>
          <w:color w:val="222222"/>
          <w:sz w:val="28"/>
          <w:szCs w:val="28"/>
        </w:rPr>
        <w:t>.</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p>
    <w:p w:rsidR="00A804AD" w:rsidRPr="00920C66" w:rsidRDefault="00A804AD" w:rsidP="00A804AD">
      <w:pPr>
        <w:autoSpaceDE w:val="0"/>
        <w:autoSpaceDN w:val="0"/>
        <w:bidi w:val="0"/>
        <w:adjustRightInd w:val="0"/>
        <w:spacing w:after="0" w:line="240" w:lineRule="auto"/>
        <w:jc w:val="both"/>
        <w:rPr>
          <w:rFonts w:asciiTheme="majorBidi" w:hAnsiTheme="majorBidi" w:cstheme="majorBidi"/>
          <w:color w:val="C00000"/>
          <w:sz w:val="28"/>
          <w:szCs w:val="28"/>
        </w:rPr>
      </w:pPr>
      <w:r w:rsidRPr="008C208D">
        <w:rPr>
          <w:rFonts w:asciiTheme="majorBidi" w:hAnsiTheme="majorBidi" w:cstheme="majorBidi"/>
          <w:color w:val="C00000"/>
          <w:sz w:val="28"/>
          <w:szCs w:val="28"/>
        </w:rPr>
        <w:lastRenderedPageBreak/>
        <w:t>Fourth pharyngeal pouch</w:t>
      </w:r>
      <w:r>
        <w:rPr>
          <w:rFonts w:asciiTheme="majorBidi" w:hAnsiTheme="majorBidi" w:cstheme="majorBidi"/>
          <w:color w:val="C00000"/>
          <w:sz w:val="28"/>
          <w:szCs w:val="28"/>
        </w:rPr>
        <w:t xml:space="preserve">; </w:t>
      </w:r>
      <w:r w:rsidRPr="008C208D">
        <w:rPr>
          <w:rFonts w:asciiTheme="majorBidi" w:hAnsiTheme="majorBidi" w:cstheme="majorBidi"/>
          <w:color w:val="000000"/>
          <w:sz w:val="28"/>
          <w:szCs w:val="28"/>
        </w:rPr>
        <w:t xml:space="preserve">Epithelium of the fourth pharyngeal pouch forms the </w:t>
      </w:r>
      <w:r w:rsidRPr="008C208D">
        <w:rPr>
          <w:rFonts w:asciiTheme="majorBidi" w:hAnsiTheme="majorBidi" w:cstheme="majorBidi"/>
          <w:b/>
          <w:bCs/>
          <w:color w:val="000000"/>
          <w:sz w:val="28"/>
          <w:szCs w:val="28"/>
        </w:rPr>
        <w:t xml:space="preserve">superior parathyroid gland. </w:t>
      </w:r>
      <w:r w:rsidRPr="008C208D">
        <w:rPr>
          <w:rFonts w:asciiTheme="majorBidi" w:hAnsiTheme="majorBidi" w:cstheme="majorBidi"/>
          <w:color w:val="000000"/>
          <w:sz w:val="28"/>
          <w:szCs w:val="28"/>
        </w:rPr>
        <w:t>It attaches itself to the migrating</w:t>
      </w:r>
      <w:r w:rsidRPr="008C208D">
        <w:rPr>
          <w:rFonts w:asciiTheme="majorBidi" w:hAnsiTheme="majorBidi" w:cstheme="majorBidi"/>
          <w:b/>
          <w:bCs/>
          <w:color w:val="000000"/>
          <w:sz w:val="28"/>
          <w:szCs w:val="28"/>
        </w:rPr>
        <w:t xml:space="preserve"> </w:t>
      </w:r>
      <w:r w:rsidRPr="008C208D">
        <w:rPr>
          <w:rFonts w:asciiTheme="majorBidi" w:hAnsiTheme="majorBidi" w:cstheme="majorBidi"/>
          <w:color w:val="000000"/>
          <w:sz w:val="28"/>
          <w:szCs w:val="28"/>
        </w:rPr>
        <w:t>thyroid</w:t>
      </w:r>
      <w:r w:rsidRPr="008C208D">
        <w:rPr>
          <w:rFonts w:asciiTheme="majorBidi" w:hAnsiTheme="majorBidi" w:cstheme="majorBidi"/>
          <w:b/>
          <w:bCs/>
          <w:color w:val="000000"/>
          <w:sz w:val="28"/>
          <w:szCs w:val="28"/>
        </w:rPr>
        <w:t>.</w:t>
      </w:r>
      <w:r w:rsidRPr="008C208D">
        <w:rPr>
          <w:rFonts w:asciiTheme="majorBidi" w:eastAsia="Times New Roman" w:hAnsiTheme="majorBidi" w:cstheme="majorBidi"/>
          <w:color w:val="222222"/>
          <w:sz w:val="28"/>
          <w:szCs w:val="28"/>
        </w:rPr>
        <w:t xml:space="preserve"> Nerve supply is the </w:t>
      </w:r>
      <w:r w:rsidRPr="003A5A34">
        <w:rPr>
          <w:rFonts w:asciiTheme="majorBidi" w:eastAsia="Times New Roman" w:hAnsiTheme="majorBidi" w:cstheme="majorBidi"/>
          <w:color w:val="2E74B5" w:themeColor="accent1" w:themeShade="BF"/>
          <w:sz w:val="28"/>
          <w:szCs w:val="28"/>
        </w:rPr>
        <w:t>superior laryngeal nerve</w:t>
      </w:r>
      <w:r w:rsidRPr="00920C66">
        <w:rPr>
          <w:rFonts w:asciiTheme="majorBidi" w:eastAsia="Times New Roman" w:hAnsiTheme="majorBidi" w:cstheme="majorBidi"/>
          <w:color w:val="8496B0" w:themeColor="text2" w:themeTint="99"/>
          <w:sz w:val="28"/>
          <w:szCs w:val="28"/>
        </w:rPr>
        <w:t>.</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b/>
          <w:bCs/>
          <w:color w:val="000000"/>
          <w:sz w:val="28"/>
          <w:szCs w:val="28"/>
        </w:rPr>
      </w:pPr>
    </w:p>
    <w:p w:rsidR="00A804AD" w:rsidRPr="00920C66" w:rsidRDefault="00A804AD" w:rsidP="00A804AD">
      <w:pPr>
        <w:autoSpaceDE w:val="0"/>
        <w:autoSpaceDN w:val="0"/>
        <w:bidi w:val="0"/>
        <w:adjustRightInd w:val="0"/>
        <w:spacing w:after="0" w:line="240" w:lineRule="auto"/>
        <w:jc w:val="both"/>
        <w:rPr>
          <w:rFonts w:asciiTheme="majorBidi" w:hAnsiTheme="majorBidi" w:cstheme="majorBidi"/>
          <w:color w:val="C00000"/>
          <w:sz w:val="28"/>
          <w:szCs w:val="28"/>
        </w:rPr>
      </w:pPr>
      <w:r w:rsidRPr="008C208D">
        <w:rPr>
          <w:rFonts w:asciiTheme="majorBidi" w:hAnsiTheme="majorBidi" w:cstheme="majorBidi"/>
          <w:color w:val="C00000"/>
          <w:sz w:val="28"/>
          <w:szCs w:val="28"/>
        </w:rPr>
        <w:t>Fifth pharyngeal pouch</w:t>
      </w:r>
      <w:r>
        <w:rPr>
          <w:rFonts w:asciiTheme="majorBidi" w:hAnsiTheme="majorBidi" w:cstheme="majorBidi"/>
          <w:color w:val="C00000"/>
          <w:sz w:val="28"/>
          <w:szCs w:val="28"/>
        </w:rPr>
        <w:t xml:space="preserve">; </w:t>
      </w:r>
      <w:r w:rsidRPr="008C208D">
        <w:rPr>
          <w:rFonts w:asciiTheme="majorBidi" w:hAnsiTheme="majorBidi" w:cstheme="majorBidi"/>
          <w:color w:val="000000"/>
          <w:sz w:val="28"/>
          <w:szCs w:val="28"/>
        </w:rPr>
        <w:t xml:space="preserve">The fifth pharyngeal pouch, the last to develop, is usually considered to be a part of the fourth pouch. It gives rise to cells of the </w:t>
      </w:r>
      <w:proofErr w:type="spellStart"/>
      <w:r w:rsidRPr="008C208D">
        <w:rPr>
          <w:rFonts w:asciiTheme="majorBidi" w:hAnsiTheme="majorBidi" w:cstheme="majorBidi"/>
          <w:color w:val="000000"/>
          <w:sz w:val="28"/>
          <w:szCs w:val="28"/>
        </w:rPr>
        <w:t>ultimobranchial</w:t>
      </w:r>
      <w:proofErr w:type="spellEnd"/>
      <w:r w:rsidRPr="008C208D">
        <w:rPr>
          <w:rFonts w:asciiTheme="majorBidi" w:hAnsiTheme="majorBidi" w:cstheme="majorBidi"/>
          <w:color w:val="000000"/>
          <w:sz w:val="28"/>
          <w:szCs w:val="28"/>
        </w:rPr>
        <w:t xml:space="preserve"> body give rise to the C</w:t>
      </w:r>
      <w:r w:rsidRPr="008C208D">
        <w:rPr>
          <w:rFonts w:asciiTheme="majorBidi" w:hAnsiTheme="majorBidi" w:cstheme="majorBidi"/>
          <w:b/>
          <w:bCs/>
          <w:color w:val="000000"/>
          <w:sz w:val="28"/>
          <w:szCs w:val="28"/>
        </w:rPr>
        <w:t xml:space="preserve">-cells </w:t>
      </w:r>
      <w:r w:rsidRPr="008C208D">
        <w:rPr>
          <w:rFonts w:asciiTheme="majorBidi" w:hAnsiTheme="majorBidi" w:cstheme="majorBidi"/>
          <w:color w:val="000000"/>
          <w:sz w:val="28"/>
          <w:szCs w:val="28"/>
        </w:rPr>
        <w:t xml:space="preserve">of the thyroid gland. These cells secrete </w:t>
      </w:r>
      <w:r w:rsidRPr="008C208D">
        <w:rPr>
          <w:rFonts w:asciiTheme="majorBidi" w:hAnsiTheme="majorBidi" w:cstheme="majorBidi"/>
          <w:b/>
          <w:bCs/>
          <w:color w:val="000000"/>
          <w:sz w:val="28"/>
          <w:szCs w:val="28"/>
        </w:rPr>
        <w:t xml:space="preserve">calcitonin, </w:t>
      </w:r>
      <w:r w:rsidRPr="008C208D">
        <w:rPr>
          <w:rFonts w:asciiTheme="majorBidi" w:hAnsiTheme="majorBidi" w:cstheme="majorBidi"/>
          <w:color w:val="000000"/>
          <w:sz w:val="28"/>
          <w:szCs w:val="28"/>
        </w:rPr>
        <w:t>a hormone involved in regulation of the calcium level in the blood.</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p>
    <w:p w:rsidR="00A804AD" w:rsidRDefault="00A804AD" w:rsidP="00A804AD">
      <w:pPr>
        <w:autoSpaceDE w:val="0"/>
        <w:autoSpaceDN w:val="0"/>
        <w:bidi w:val="0"/>
        <w:adjustRightInd w:val="0"/>
        <w:spacing w:after="0" w:line="240" w:lineRule="auto"/>
        <w:jc w:val="center"/>
        <w:rPr>
          <w:rFonts w:asciiTheme="majorBidi" w:hAnsiTheme="majorBidi" w:cstheme="majorBidi"/>
          <w:color w:val="000000"/>
          <w:sz w:val="28"/>
          <w:szCs w:val="28"/>
        </w:rPr>
      </w:pPr>
    </w:p>
    <w:p w:rsidR="00A804AD" w:rsidRDefault="00A804AD" w:rsidP="00A804AD">
      <w:pPr>
        <w:autoSpaceDE w:val="0"/>
        <w:autoSpaceDN w:val="0"/>
        <w:bidi w:val="0"/>
        <w:adjustRightInd w:val="0"/>
        <w:spacing w:after="0" w:line="240" w:lineRule="auto"/>
        <w:jc w:val="center"/>
        <w:rPr>
          <w:rFonts w:asciiTheme="majorBidi" w:hAnsiTheme="majorBidi" w:cstheme="majorBidi"/>
          <w:color w:val="000000"/>
          <w:sz w:val="28"/>
          <w:szCs w:val="28"/>
        </w:rPr>
      </w:pPr>
    </w:p>
    <w:p w:rsidR="00A804AD" w:rsidRPr="008C208D" w:rsidRDefault="00A804AD" w:rsidP="00A804AD">
      <w:pPr>
        <w:autoSpaceDE w:val="0"/>
        <w:autoSpaceDN w:val="0"/>
        <w:bidi w:val="0"/>
        <w:adjustRightInd w:val="0"/>
        <w:spacing w:after="0" w:line="240" w:lineRule="auto"/>
        <w:jc w:val="center"/>
        <w:rPr>
          <w:rFonts w:asciiTheme="majorBidi" w:hAnsiTheme="majorBidi" w:cstheme="majorBidi"/>
          <w:b/>
          <w:bCs/>
          <w:color w:val="C00000"/>
          <w:sz w:val="28"/>
          <w:szCs w:val="28"/>
        </w:rPr>
      </w:pPr>
      <w:r w:rsidRPr="008C208D">
        <w:rPr>
          <w:rFonts w:asciiTheme="majorBidi" w:hAnsiTheme="majorBidi" w:cstheme="majorBidi"/>
          <w:b/>
          <w:bCs/>
          <w:color w:val="C00000"/>
          <w:sz w:val="28"/>
          <w:szCs w:val="28"/>
          <w:highlight w:val="yellow"/>
        </w:rPr>
        <w:t>Molecular Regulation of Facial Development</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b/>
          <w:bCs/>
          <w:color w:val="1AB3FF"/>
          <w:sz w:val="28"/>
          <w:szCs w:val="2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r w:rsidRPr="008C208D">
        <w:rPr>
          <w:rFonts w:asciiTheme="majorBidi" w:hAnsiTheme="majorBidi" w:cstheme="majorBidi"/>
          <w:color w:val="000000"/>
          <w:sz w:val="28"/>
          <w:szCs w:val="28"/>
        </w:rPr>
        <w:t xml:space="preserve">As indicated, much of the face is derived from neural crest cells that migrate into </w:t>
      </w:r>
      <w:r>
        <w:rPr>
          <w:rFonts w:asciiTheme="majorBidi" w:hAnsiTheme="majorBidi" w:cstheme="majorBidi"/>
          <w:color w:val="000000"/>
          <w:sz w:val="28"/>
          <w:szCs w:val="28"/>
        </w:rPr>
        <w:t>the pharyngeal arches</w:t>
      </w:r>
      <w:r w:rsidRPr="008C208D">
        <w:rPr>
          <w:rFonts w:asciiTheme="majorBidi" w:hAnsiTheme="majorBidi" w:cstheme="majorBidi"/>
          <w:color w:val="000000"/>
          <w:sz w:val="28"/>
          <w:szCs w:val="28"/>
        </w:rPr>
        <w:t xml:space="preserve">. In the hindbrain, crest cells originate from segmented regions known as </w:t>
      </w:r>
      <w:proofErr w:type="spellStart"/>
      <w:r w:rsidRPr="008C208D">
        <w:rPr>
          <w:rFonts w:asciiTheme="majorBidi" w:hAnsiTheme="majorBidi" w:cstheme="majorBidi"/>
          <w:b/>
          <w:bCs/>
          <w:color w:val="000000"/>
          <w:sz w:val="28"/>
          <w:szCs w:val="28"/>
        </w:rPr>
        <w:t>rhombomeres</w:t>
      </w:r>
      <w:proofErr w:type="spellEnd"/>
      <w:r w:rsidRPr="008C208D">
        <w:rPr>
          <w:rFonts w:asciiTheme="majorBidi" w:hAnsiTheme="majorBidi" w:cstheme="majorBidi"/>
          <w:b/>
          <w:bCs/>
          <w:color w:val="000000"/>
          <w:sz w:val="28"/>
          <w:szCs w:val="28"/>
        </w:rPr>
        <w:t>.</w:t>
      </w:r>
      <w:r w:rsidRPr="008C208D">
        <w:rPr>
          <w:rFonts w:asciiTheme="majorBidi" w:hAnsiTheme="majorBidi" w:cstheme="majorBidi"/>
          <w:color w:val="000000"/>
          <w:sz w:val="28"/>
          <w:szCs w:val="28"/>
        </w:rPr>
        <w:t xml:space="preserve"> </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r w:rsidRPr="008C208D">
        <w:rPr>
          <w:rFonts w:asciiTheme="majorBidi" w:hAnsiTheme="majorBidi" w:cstheme="majorBidi"/>
          <w:color w:val="000000"/>
          <w:sz w:val="28"/>
          <w:szCs w:val="28"/>
        </w:rPr>
        <w:t>There are eight of these segments in the hindbrain (R1 to R8). Crest cells from R1 and R2 migrate to the first arch, cells from R4 go to the second arch, those from R6 and 7 to the third arch, and those from R8 to the fourth and sixth arches. In addition, the first arch receives crest cells originating in the midbrain.</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color w:val="000000"/>
          <w:sz w:val="28"/>
          <w:szCs w:val="28"/>
        </w:rPr>
      </w:pPr>
      <w:r w:rsidRPr="008C208D">
        <w:rPr>
          <w:rFonts w:asciiTheme="majorBidi" w:hAnsiTheme="majorBidi" w:cstheme="majorBidi"/>
          <w:color w:val="000000"/>
          <w:sz w:val="28"/>
          <w:szCs w:val="28"/>
        </w:rPr>
        <w:t xml:space="preserve">Few if any crest cells form from R3 and R5. Most of the cells from these </w:t>
      </w:r>
      <w:proofErr w:type="spellStart"/>
      <w:r w:rsidRPr="008C208D">
        <w:rPr>
          <w:rFonts w:asciiTheme="majorBidi" w:hAnsiTheme="majorBidi" w:cstheme="majorBidi"/>
          <w:color w:val="000000"/>
          <w:sz w:val="28"/>
          <w:szCs w:val="28"/>
        </w:rPr>
        <w:t>rhombomeres</w:t>
      </w:r>
      <w:proofErr w:type="spellEnd"/>
      <w:r w:rsidRPr="008C208D">
        <w:rPr>
          <w:rFonts w:asciiTheme="majorBidi" w:hAnsiTheme="majorBidi" w:cstheme="majorBidi"/>
          <w:color w:val="000000"/>
          <w:sz w:val="28"/>
          <w:szCs w:val="28"/>
        </w:rPr>
        <w:t xml:space="preserve"> undergo cell death by </w:t>
      </w:r>
      <w:r w:rsidRPr="008C208D">
        <w:rPr>
          <w:rFonts w:asciiTheme="majorBidi" w:hAnsiTheme="majorBidi" w:cstheme="majorBidi"/>
          <w:b/>
          <w:bCs/>
          <w:color w:val="000000"/>
          <w:sz w:val="28"/>
          <w:szCs w:val="28"/>
        </w:rPr>
        <w:t>apoptosis</w:t>
      </w:r>
      <w:r>
        <w:rPr>
          <w:rFonts w:asciiTheme="majorBidi" w:hAnsiTheme="majorBidi" w:cstheme="majorBidi"/>
          <w:b/>
          <w:bCs/>
          <w:color w:val="000000"/>
          <w:sz w:val="28"/>
          <w:szCs w:val="28"/>
        </w:rPr>
        <w:t>.</w:t>
      </w:r>
      <w:r w:rsidRPr="008C208D">
        <w:rPr>
          <w:rFonts w:asciiTheme="majorBidi" w:hAnsiTheme="majorBidi" w:cstheme="majorBidi"/>
          <w:color w:val="000000"/>
          <w:sz w:val="28"/>
          <w:szCs w:val="28"/>
        </w:rPr>
        <w:t xml:space="preserve"> </w:t>
      </w: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b/>
          <w:bCs/>
          <w:color w:val="33C0FF"/>
          <w:sz w:val="28"/>
          <w:szCs w:val="2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b/>
          <w:bCs/>
          <w:color w:val="33C0FF"/>
          <w:sz w:val="28"/>
          <w:szCs w:val="28"/>
        </w:rPr>
      </w:pPr>
      <w:r w:rsidRPr="008C208D">
        <w:rPr>
          <w:rFonts w:asciiTheme="majorBidi" w:hAnsiTheme="majorBidi" w:cstheme="majorBidi"/>
          <w:noProof/>
          <w:sz w:val="28"/>
          <w:szCs w:val="28"/>
        </w:rPr>
        <w:drawing>
          <wp:inline distT="0" distB="0" distL="0" distR="0" wp14:anchorId="2377AC3F" wp14:editId="4117AE99">
            <wp:extent cx="5350334" cy="23526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876" t="27349" r="19742" b="30545"/>
                    <a:stretch/>
                  </pic:blipFill>
                  <pic:spPr bwMode="auto">
                    <a:xfrm>
                      <a:off x="0" y="0"/>
                      <a:ext cx="5365856" cy="2359501"/>
                    </a:xfrm>
                    <a:prstGeom prst="rect">
                      <a:avLst/>
                    </a:prstGeom>
                    <a:ln>
                      <a:noFill/>
                    </a:ln>
                    <a:extLst>
                      <a:ext uri="{53640926-AAD7-44D8-BBD7-CCE9431645EC}">
                        <a14:shadowObscured xmlns:a14="http://schemas.microsoft.com/office/drawing/2010/main"/>
                      </a:ext>
                    </a:extLst>
                  </pic:spPr>
                </pic:pic>
              </a:graphicData>
            </a:graphic>
          </wp:inline>
        </w:drawing>
      </w:r>
    </w:p>
    <w:p w:rsidR="00A804AD" w:rsidRDefault="00A804AD" w:rsidP="00A804AD">
      <w:pPr>
        <w:autoSpaceDE w:val="0"/>
        <w:autoSpaceDN w:val="0"/>
        <w:bidi w:val="0"/>
        <w:adjustRightInd w:val="0"/>
        <w:spacing w:after="0" w:line="240" w:lineRule="auto"/>
        <w:jc w:val="both"/>
        <w:rPr>
          <w:rFonts w:asciiTheme="majorBidi" w:hAnsiTheme="majorBidi" w:cstheme="majorBidi"/>
          <w:b/>
          <w:bCs/>
          <w:color w:val="33C0FF"/>
          <w:sz w:val="28"/>
          <w:szCs w:val="2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b/>
          <w:bCs/>
          <w:color w:val="33C0FF"/>
          <w:sz w:val="28"/>
          <w:szCs w:val="2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b/>
          <w:bCs/>
          <w:color w:val="33C0FF"/>
          <w:sz w:val="28"/>
          <w:szCs w:val="28"/>
        </w:rPr>
      </w:pPr>
    </w:p>
    <w:p w:rsidR="00A804AD" w:rsidRPr="008C208D" w:rsidRDefault="00A804AD" w:rsidP="00A804AD">
      <w:pPr>
        <w:autoSpaceDE w:val="0"/>
        <w:autoSpaceDN w:val="0"/>
        <w:bidi w:val="0"/>
        <w:adjustRightInd w:val="0"/>
        <w:spacing w:after="0" w:line="240" w:lineRule="auto"/>
        <w:jc w:val="both"/>
        <w:rPr>
          <w:rFonts w:asciiTheme="majorBidi" w:hAnsiTheme="majorBidi" w:cstheme="majorBidi"/>
          <w:b/>
          <w:bCs/>
          <w:color w:val="33C0FF"/>
          <w:sz w:val="28"/>
          <w:szCs w:val="28"/>
        </w:rPr>
      </w:pPr>
    </w:p>
    <w:p w:rsidR="00A804AD" w:rsidRPr="008C208D" w:rsidRDefault="00A804AD" w:rsidP="00A804AD">
      <w:pPr>
        <w:jc w:val="both"/>
        <w:rPr>
          <w:rFonts w:asciiTheme="majorBidi" w:hAnsiTheme="majorBidi" w:cstheme="majorBidi"/>
          <w:sz w:val="28"/>
          <w:szCs w:val="28"/>
          <w:lang w:bidi="ar-IQ"/>
        </w:rPr>
      </w:pPr>
    </w:p>
    <w:p w:rsidR="005609FD" w:rsidRDefault="005609FD">
      <w:pPr>
        <w:rPr>
          <w:lang w:bidi="ar-IQ"/>
        </w:rPr>
      </w:pPr>
    </w:p>
    <w:sectPr w:rsidR="005609FD" w:rsidSect="00AC0140">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D68" w:rsidRDefault="004F1D68">
      <w:pPr>
        <w:spacing w:after="0" w:line="240" w:lineRule="auto"/>
      </w:pPr>
      <w:r>
        <w:separator/>
      </w:r>
    </w:p>
  </w:endnote>
  <w:endnote w:type="continuationSeparator" w:id="0">
    <w:p w:rsidR="004F1D68" w:rsidRDefault="004F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1A" w:rsidRDefault="004F1D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1A" w:rsidRDefault="004F1D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1A" w:rsidRDefault="004F1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D68" w:rsidRDefault="004F1D68">
      <w:pPr>
        <w:spacing w:after="0" w:line="240" w:lineRule="auto"/>
      </w:pPr>
      <w:r>
        <w:separator/>
      </w:r>
    </w:p>
  </w:footnote>
  <w:footnote w:type="continuationSeparator" w:id="0">
    <w:p w:rsidR="004F1D68" w:rsidRDefault="004F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1A" w:rsidRDefault="004F1D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1A" w:rsidRDefault="004F1D68">
    <w:pPr>
      <w:pStyle w:val="Header"/>
      <w:rPr>
        <w:lang w:bidi="ar-IQ"/>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1A" w:rsidRDefault="004F1D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C5F"/>
    <w:multiLevelType w:val="hybridMultilevel"/>
    <w:tmpl w:val="291200B4"/>
    <w:lvl w:ilvl="0" w:tplc="8176EC4E">
      <w:start w:val="1"/>
      <w:numFmt w:val="upperLetter"/>
      <w:lvlText w:val="%1."/>
      <w:lvlJc w:val="left"/>
      <w:pPr>
        <w:ind w:left="720" w:hanging="360"/>
      </w:pPr>
      <w:rPr>
        <w:rFonts w:hint="default"/>
        <w:b/>
        <w:color w:val="737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0111B"/>
    <w:multiLevelType w:val="hybridMultilevel"/>
    <w:tmpl w:val="192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78"/>
    <w:rsid w:val="00181E1E"/>
    <w:rsid w:val="00236978"/>
    <w:rsid w:val="003449FB"/>
    <w:rsid w:val="004F1D68"/>
    <w:rsid w:val="005609FD"/>
    <w:rsid w:val="00A80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EB5"/>
  <w15:chartTrackingRefBased/>
  <w15:docId w15:val="{F15F4D3E-37AA-42CC-85F0-EC5200C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AD"/>
    <w:pPr>
      <w:ind w:left="720"/>
      <w:contextualSpacing/>
    </w:pPr>
  </w:style>
  <w:style w:type="paragraph" w:styleId="Header">
    <w:name w:val="header"/>
    <w:basedOn w:val="Normal"/>
    <w:link w:val="HeaderChar"/>
    <w:uiPriority w:val="99"/>
    <w:unhideWhenUsed/>
    <w:rsid w:val="00A80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4AD"/>
  </w:style>
  <w:style w:type="paragraph" w:styleId="Footer">
    <w:name w:val="footer"/>
    <w:basedOn w:val="Normal"/>
    <w:link w:val="FooterChar"/>
    <w:uiPriority w:val="99"/>
    <w:unhideWhenUsed/>
    <w:rsid w:val="00A804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cial_ner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n.wikipedia.org/wiki/Glossopharyngeal_ner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Company>SACC</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2023-09-03T11:30:00Z</dcterms:created>
  <dcterms:modified xsi:type="dcterms:W3CDTF">2023-09-03T11:54:00Z</dcterms:modified>
</cp:coreProperties>
</file>