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rFonts w:asciiTheme="majorBidi" w:hAnsiTheme="majorBidi" w:cstheme="majorBidi"/>
          <w:b/>
          <w:bCs/>
          <w:sz w:val="28"/>
          <w:szCs w:val="28"/>
        </w:rPr>
        <w:t>Lec.14</w:t>
      </w:r>
    </w:p>
    <w:p w:rsidR="00D46FB5" w:rsidRDefault="00D46FB5" w:rsidP="00D46FB5">
      <w:pPr>
        <w:autoSpaceDE w:val="0"/>
        <w:autoSpaceDN w:val="0"/>
        <w:bidi w:val="0"/>
        <w:adjustRightInd w:val="0"/>
        <w:spacing w:after="0" w:line="240" w:lineRule="auto"/>
        <w:rPr>
          <w:rFonts w:asciiTheme="majorBidi" w:hAnsiTheme="majorBidi" w:cstheme="majorBidi"/>
          <w:b/>
          <w:bCs/>
          <w:sz w:val="28"/>
          <w:szCs w:val="28"/>
        </w:rPr>
      </w:pPr>
      <w:bookmarkStart w:id="0" w:name="_GoBack"/>
      <w:bookmarkEnd w:id="0"/>
    </w:p>
    <w:p w:rsidR="00D46FB5" w:rsidRDefault="00D46FB5" w:rsidP="00D46FB5">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Dr. </w:t>
      </w:r>
      <w:proofErr w:type="spellStart"/>
      <w:r>
        <w:rPr>
          <w:rFonts w:asciiTheme="majorBidi" w:hAnsiTheme="majorBidi" w:cstheme="majorBidi"/>
          <w:b/>
          <w:bCs/>
          <w:sz w:val="28"/>
          <w:szCs w:val="28"/>
        </w:rPr>
        <w:t>Hulal</w:t>
      </w:r>
      <w:proofErr w:type="spellEnd"/>
      <w:r>
        <w:rPr>
          <w:rFonts w:asciiTheme="majorBidi" w:hAnsiTheme="majorBidi" w:cstheme="majorBidi"/>
          <w:b/>
          <w:bCs/>
          <w:sz w:val="28"/>
          <w:szCs w:val="28"/>
        </w:rPr>
        <w:t xml:space="preserve"> Saleh</w:t>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tl/>
          <w:lang w:bidi="ar-IQ"/>
        </w:rPr>
      </w:pPr>
      <w:r w:rsidRPr="00E47F31">
        <w:rPr>
          <w:rFonts w:asciiTheme="majorBidi" w:hAnsiTheme="majorBidi" w:cstheme="majorBidi"/>
          <w:b/>
          <w:bCs/>
          <w:sz w:val="28"/>
          <w:szCs w:val="28"/>
        </w:rPr>
        <w:t xml:space="preserve">Development of the face                                                              </w:t>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 xml:space="preserve">The face is formed by three swellings: the </w:t>
      </w:r>
      <w:r w:rsidRPr="00E47F31">
        <w:rPr>
          <w:rFonts w:asciiTheme="majorBidi" w:hAnsiTheme="majorBidi" w:cstheme="majorBidi"/>
          <w:b/>
          <w:bCs/>
          <w:sz w:val="28"/>
          <w:szCs w:val="28"/>
        </w:rPr>
        <w:t>frontonasal prominence, maxillary prominence (pharyngeal arch 1)</w:t>
      </w:r>
      <w:r w:rsidRPr="00E47F31">
        <w:rPr>
          <w:rFonts w:asciiTheme="majorBidi" w:hAnsiTheme="majorBidi" w:cstheme="majorBidi"/>
          <w:sz w:val="28"/>
          <w:szCs w:val="28"/>
        </w:rPr>
        <w:t xml:space="preserve">, and </w:t>
      </w:r>
      <w:r w:rsidRPr="00E47F31">
        <w:rPr>
          <w:rFonts w:asciiTheme="majorBidi" w:hAnsiTheme="majorBidi" w:cstheme="majorBidi"/>
          <w:b/>
          <w:bCs/>
          <w:sz w:val="28"/>
          <w:szCs w:val="28"/>
        </w:rPr>
        <w:t>mandibular prominence (pharyngeal arch 1)</w:t>
      </w:r>
      <w:r w:rsidRPr="00E47F31">
        <w:rPr>
          <w:rFonts w:asciiTheme="majorBidi" w:hAnsiTheme="majorBidi" w:cstheme="majorBidi"/>
          <w:sz w:val="28"/>
          <w:szCs w:val="28"/>
        </w:rPr>
        <w:t>.</w:t>
      </w: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 xml:space="preserve">Bilateral ectodermal thickenings called </w:t>
      </w:r>
      <w:r w:rsidRPr="00E47F31">
        <w:rPr>
          <w:rFonts w:asciiTheme="majorBidi" w:hAnsiTheme="majorBidi" w:cstheme="majorBidi"/>
          <w:b/>
          <w:bCs/>
          <w:sz w:val="28"/>
          <w:szCs w:val="28"/>
        </w:rPr>
        <w:t xml:space="preserve">nasal placodes </w:t>
      </w:r>
      <w:r w:rsidRPr="00E47F31">
        <w:rPr>
          <w:rFonts w:asciiTheme="majorBidi" w:hAnsiTheme="majorBidi" w:cstheme="majorBidi"/>
          <w:sz w:val="28"/>
          <w:szCs w:val="28"/>
        </w:rPr>
        <w:t>develop on the ventrolateral aspects of the</w:t>
      </w: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frontonasal prominence.</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nasal placodes </w:t>
      </w:r>
      <w:proofErr w:type="spellStart"/>
      <w:r w:rsidRPr="00E47F31">
        <w:rPr>
          <w:rFonts w:asciiTheme="majorBidi" w:hAnsiTheme="majorBidi" w:cstheme="majorBidi"/>
          <w:sz w:val="28"/>
          <w:szCs w:val="28"/>
        </w:rPr>
        <w:t>invaginate</w:t>
      </w:r>
      <w:proofErr w:type="spellEnd"/>
      <w:r w:rsidRPr="00E47F31">
        <w:rPr>
          <w:rFonts w:asciiTheme="majorBidi" w:hAnsiTheme="majorBidi" w:cstheme="majorBidi"/>
          <w:sz w:val="28"/>
          <w:szCs w:val="28"/>
        </w:rPr>
        <w:t xml:space="preserve"> into the underlying mesoderm to form the nasal pits, thereby producing a ridge of tissue that forms the </w:t>
      </w:r>
      <w:r w:rsidRPr="00E47F31">
        <w:rPr>
          <w:rFonts w:asciiTheme="majorBidi" w:hAnsiTheme="majorBidi" w:cstheme="majorBidi"/>
          <w:b/>
          <w:bCs/>
          <w:sz w:val="28"/>
          <w:szCs w:val="28"/>
        </w:rPr>
        <w:t xml:space="preserve">medial nasal prominence </w:t>
      </w:r>
      <w:r w:rsidRPr="00E47F31">
        <w:rPr>
          <w:rFonts w:asciiTheme="majorBidi" w:hAnsiTheme="majorBidi" w:cstheme="majorBidi"/>
          <w:sz w:val="28"/>
          <w:szCs w:val="28"/>
        </w:rPr>
        <w:t xml:space="preserve">and </w:t>
      </w:r>
      <w:r w:rsidRPr="00E47F31">
        <w:rPr>
          <w:rFonts w:asciiTheme="majorBidi" w:hAnsiTheme="majorBidi" w:cstheme="majorBidi"/>
          <w:b/>
          <w:bCs/>
          <w:sz w:val="28"/>
          <w:szCs w:val="28"/>
        </w:rPr>
        <w:t>lateral nasal prominence</w:t>
      </w:r>
      <w:r w:rsidRPr="00E47F31">
        <w:rPr>
          <w:rFonts w:asciiTheme="majorBidi" w:hAnsiTheme="majorBidi" w:cstheme="majorBidi"/>
          <w:sz w:val="28"/>
          <w:szCs w:val="28"/>
        </w:rPr>
        <w:t>.</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 xml:space="preserve">A deep groove called the nasolacrimal groove forms between the maxillary prominence and the lateral nasal prominence and eventually forms the </w:t>
      </w:r>
      <w:r w:rsidRPr="00E47F31">
        <w:rPr>
          <w:rFonts w:asciiTheme="majorBidi" w:hAnsiTheme="majorBidi" w:cstheme="majorBidi"/>
          <w:b/>
          <w:bCs/>
          <w:sz w:val="28"/>
          <w:szCs w:val="28"/>
        </w:rPr>
        <w:t xml:space="preserve">nasolacrimal duct </w:t>
      </w:r>
      <w:r w:rsidRPr="00E47F31">
        <w:rPr>
          <w:rFonts w:asciiTheme="majorBidi" w:hAnsiTheme="majorBidi" w:cstheme="majorBidi"/>
          <w:sz w:val="28"/>
          <w:szCs w:val="28"/>
        </w:rPr>
        <w:t xml:space="preserve">and </w:t>
      </w:r>
      <w:r w:rsidRPr="00E47F31">
        <w:rPr>
          <w:rFonts w:asciiTheme="majorBidi" w:hAnsiTheme="majorBidi" w:cstheme="majorBidi"/>
          <w:b/>
          <w:bCs/>
          <w:sz w:val="28"/>
          <w:szCs w:val="28"/>
        </w:rPr>
        <w:t>lacrimal sac</w:t>
      </w:r>
      <w:r w:rsidRPr="00E47F31">
        <w:rPr>
          <w:rFonts w:asciiTheme="majorBidi" w:hAnsiTheme="majorBidi" w:cstheme="majorBidi"/>
          <w:sz w:val="28"/>
          <w:szCs w:val="28"/>
        </w:rPr>
        <w:t>.</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p>
    <w:p w:rsidR="001A2797" w:rsidRPr="00E47F31" w:rsidRDefault="001A2797" w:rsidP="001A2797">
      <w:pPr>
        <w:autoSpaceDE w:val="0"/>
        <w:autoSpaceDN w:val="0"/>
        <w:bidi w:val="0"/>
        <w:adjustRightInd w:val="0"/>
        <w:spacing w:after="0" w:line="276" w:lineRule="auto"/>
        <w:jc w:val="both"/>
        <w:rPr>
          <w:rFonts w:asciiTheme="majorBidi" w:hAnsiTheme="majorBidi" w:cstheme="majorBidi"/>
          <w:b/>
          <w:bCs/>
          <w:sz w:val="28"/>
          <w:szCs w:val="28"/>
        </w:rPr>
      </w:pPr>
      <w:proofErr w:type="spellStart"/>
      <w:r w:rsidRPr="00E47F31">
        <w:rPr>
          <w:rFonts w:asciiTheme="majorBidi" w:hAnsiTheme="majorBidi" w:cstheme="majorBidi"/>
          <w:b/>
          <w:bCs/>
          <w:sz w:val="28"/>
          <w:szCs w:val="28"/>
        </w:rPr>
        <w:t>Intermaxillary</w:t>
      </w:r>
      <w:proofErr w:type="spellEnd"/>
      <w:r w:rsidRPr="00E47F31">
        <w:rPr>
          <w:rFonts w:asciiTheme="majorBidi" w:hAnsiTheme="majorBidi" w:cstheme="majorBidi"/>
          <w:b/>
          <w:bCs/>
          <w:sz w:val="28"/>
          <w:szCs w:val="28"/>
        </w:rPr>
        <w:t xml:space="preserve"> segment; </w:t>
      </w:r>
      <w:r w:rsidRPr="00E47F31">
        <w:rPr>
          <w:rFonts w:asciiTheme="majorBidi" w:hAnsiTheme="majorBidi" w:cstheme="majorBidi"/>
          <w:sz w:val="28"/>
          <w:szCs w:val="28"/>
        </w:rPr>
        <w:t xml:space="preserve">The </w:t>
      </w:r>
      <w:proofErr w:type="spellStart"/>
      <w:r w:rsidRPr="00E47F31">
        <w:rPr>
          <w:rFonts w:asciiTheme="majorBidi" w:hAnsiTheme="majorBidi" w:cstheme="majorBidi"/>
          <w:sz w:val="28"/>
          <w:szCs w:val="28"/>
        </w:rPr>
        <w:t>intermaxillary</w:t>
      </w:r>
      <w:proofErr w:type="spellEnd"/>
      <w:r w:rsidRPr="00E47F31">
        <w:rPr>
          <w:rFonts w:asciiTheme="majorBidi" w:hAnsiTheme="majorBidi" w:cstheme="majorBidi"/>
          <w:sz w:val="28"/>
          <w:szCs w:val="28"/>
        </w:rPr>
        <w:t xml:space="preserve"> segment forms when the two medial nasal prominences fuse together at the</w:t>
      </w: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midline due to the growth of the maxillary prominences of pharyngeal arch 1 toward the midline.</w:t>
      </w: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 xml:space="preserve">The </w:t>
      </w:r>
      <w:proofErr w:type="spellStart"/>
      <w:r w:rsidRPr="00E47F31">
        <w:rPr>
          <w:rFonts w:asciiTheme="majorBidi" w:hAnsiTheme="majorBidi" w:cstheme="majorBidi"/>
          <w:sz w:val="28"/>
          <w:szCs w:val="28"/>
        </w:rPr>
        <w:t>intermaxillary</w:t>
      </w:r>
      <w:proofErr w:type="spellEnd"/>
      <w:r w:rsidRPr="00E47F31">
        <w:rPr>
          <w:rFonts w:asciiTheme="majorBidi" w:hAnsiTheme="majorBidi" w:cstheme="majorBidi"/>
          <w:sz w:val="28"/>
          <w:szCs w:val="28"/>
        </w:rPr>
        <w:t xml:space="preserve"> segment forms the </w:t>
      </w:r>
      <w:r w:rsidRPr="00E47F31">
        <w:rPr>
          <w:rFonts w:asciiTheme="majorBidi" w:hAnsiTheme="majorBidi" w:cstheme="majorBidi"/>
          <w:b/>
          <w:bCs/>
          <w:sz w:val="28"/>
          <w:szCs w:val="28"/>
        </w:rPr>
        <w:t>philtrum of the lip, four incisor teeth</w:t>
      </w:r>
      <w:r w:rsidRPr="00E47F31">
        <w:rPr>
          <w:rFonts w:asciiTheme="majorBidi" w:hAnsiTheme="majorBidi" w:cstheme="majorBidi"/>
          <w:sz w:val="28"/>
          <w:szCs w:val="28"/>
        </w:rPr>
        <w:t xml:space="preserve">, and </w:t>
      </w:r>
      <w:r w:rsidRPr="00E47F31">
        <w:rPr>
          <w:rFonts w:asciiTheme="majorBidi" w:hAnsiTheme="majorBidi" w:cstheme="majorBidi"/>
          <w:b/>
          <w:bCs/>
          <w:sz w:val="28"/>
          <w:szCs w:val="28"/>
        </w:rPr>
        <w:t>primary palate</w:t>
      </w:r>
      <w:r w:rsidRPr="00E47F31">
        <w:rPr>
          <w:rFonts w:asciiTheme="majorBidi" w:hAnsiTheme="majorBidi" w:cstheme="majorBidi"/>
          <w:sz w:val="28"/>
          <w:szCs w:val="28"/>
        </w:rPr>
        <w:t>.</w:t>
      </w:r>
    </w:p>
    <w:p w:rsidR="001A2797" w:rsidRPr="00E47F31" w:rsidRDefault="001A2797" w:rsidP="001A2797">
      <w:pPr>
        <w:jc w:val="right"/>
        <w:rPr>
          <w:rFonts w:asciiTheme="majorBidi" w:hAnsiTheme="majorBidi" w:cstheme="majorBidi"/>
          <w:sz w:val="28"/>
          <w:szCs w:val="28"/>
          <w:rtl/>
          <w:lang w:bidi="ar-IQ"/>
        </w:rPr>
      </w:pPr>
      <w:r w:rsidRPr="00E47F31">
        <w:rPr>
          <w:rFonts w:asciiTheme="majorBidi" w:hAnsiTheme="majorBidi" w:cstheme="majorBidi"/>
          <w:noProof/>
          <w:sz w:val="28"/>
          <w:szCs w:val="28"/>
        </w:rPr>
        <w:drawing>
          <wp:inline distT="0" distB="0" distL="0" distR="0" wp14:anchorId="705BB145" wp14:editId="08AC9F7A">
            <wp:extent cx="5439336" cy="1995778"/>
            <wp:effectExtent l="0" t="0" r="0" b="5080"/>
            <wp:docPr id="1"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417" t="28491" r="37165" b="49727"/>
                    <a:stretch/>
                  </pic:blipFill>
                  <pic:spPr bwMode="auto">
                    <a:xfrm>
                      <a:off x="0" y="0"/>
                      <a:ext cx="5648977" cy="2072698"/>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r w:rsidRPr="00E47F31">
        <w:rPr>
          <w:rFonts w:asciiTheme="majorBidi" w:hAnsiTheme="majorBidi" w:cstheme="majorBidi"/>
          <w:sz w:val="28"/>
          <w:szCs w:val="28"/>
        </w:rPr>
        <w:t xml:space="preserve">The </w:t>
      </w:r>
      <w:r w:rsidRPr="00E47F31">
        <w:rPr>
          <w:rFonts w:asciiTheme="majorBidi" w:hAnsiTheme="majorBidi" w:cstheme="majorBidi"/>
          <w:b/>
          <w:bCs/>
          <w:sz w:val="28"/>
          <w:szCs w:val="28"/>
        </w:rPr>
        <w:t>various parts of the face develop as follows</w:t>
      </w:r>
      <w:r w:rsidRPr="00E47F31">
        <w:rPr>
          <w:rFonts w:asciiTheme="majorBidi" w:hAnsiTheme="majorBidi" w:cstheme="majorBidi"/>
          <w:sz w:val="28"/>
          <w:szCs w:val="28"/>
        </w:rPr>
        <w:t>:</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p>
    <w:p w:rsidR="001A2797" w:rsidRPr="00E47F31" w:rsidRDefault="001A2797" w:rsidP="001A2797">
      <w:pPr>
        <w:pStyle w:val="ListParagraph"/>
        <w:numPr>
          <w:ilvl w:val="0"/>
          <w:numId w:val="1"/>
        </w:numPr>
        <w:autoSpaceDE w:val="0"/>
        <w:autoSpaceDN w:val="0"/>
        <w:bidi w:val="0"/>
        <w:adjustRightInd w:val="0"/>
        <w:spacing w:after="0" w:line="240" w:lineRule="auto"/>
        <w:jc w:val="both"/>
        <w:rPr>
          <w:rFonts w:asciiTheme="majorBidi" w:hAnsiTheme="majorBidi" w:cstheme="majorBidi"/>
          <w:b/>
          <w:bCs/>
          <w:sz w:val="28"/>
          <w:szCs w:val="28"/>
        </w:rPr>
      </w:pPr>
      <w:r w:rsidRPr="00E47F31">
        <w:rPr>
          <w:rFonts w:asciiTheme="majorBidi" w:hAnsiTheme="majorBidi" w:cstheme="majorBidi"/>
          <w:sz w:val="28"/>
          <w:szCs w:val="28"/>
        </w:rPr>
        <w:t xml:space="preserve">The </w:t>
      </w:r>
      <w:r w:rsidRPr="00E47F31">
        <w:rPr>
          <w:rFonts w:asciiTheme="majorBidi" w:hAnsiTheme="majorBidi" w:cstheme="majorBidi"/>
          <w:b/>
          <w:bCs/>
          <w:sz w:val="28"/>
          <w:szCs w:val="28"/>
        </w:rPr>
        <w:t xml:space="preserve">olfactory pits </w:t>
      </w:r>
      <w:r w:rsidRPr="00E47F31">
        <w:rPr>
          <w:rFonts w:asciiTheme="majorBidi" w:hAnsiTheme="majorBidi" w:cstheme="majorBidi"/>
          <w:sz w:val="28"/>
          <w:szCs w:val="28"/>
        </w:rPr>
        <w:t xml:space="preserve">grow deeper to form </w:t>
      </w:r>
      <w:r w:rsidRPr="00E47F31">
        <w:rPr>
          <w:rFonts w:asciiTheme="majorBidi" w:hAnsiTheme="majorBidi" w:cstheme="majorBidi"/>
          <w:b/>
          <w:bCs/>
          <w:sz w:val="28"/>
          <w:szCs w:val="28"/>
        </w:rPr>
        <w:t>nasal cavities</w:t>
      </w:r>
      <w:r w:rsidRPr="00E47F31">
        <w:rPr>
          <w:rFonts w:asciiTheme="majorBidi" w:hAnsiTheme="majorBidi" w:cstheme="majorBidi"/>
          <w:sz w:val="28"/>
          <w:szCs w:val="28"/>
        </w:rPr>
        <w:t>.</w:t>
      </w:r>
    </w:p>
    <w:p w:rsidR="001A2797" w:rsidRPr="00E47F31" w:rsidRDefault="001A2797" w:rsidP="001A2797">
      <w:pPr>
        <w:pStyle w:val="ListParagraph"/>
        <w:numPr>
          <w:ilvl w:val="0"/>
          <w:numId w:val="1"/>
        </w:num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w:t>
      </w:r>
      <w:r w:rsidRPr="00E47F31">
        <w:rPr>
          <w:rFonts w:asciiTheme="majorBidi" w:hAnsiTheme="majorBidi" w:cstheme="majorBidi"/>
          <w:b/>
          <w:bCs/>
          <w:sz w:val="28"/>
          <w:szCs w:val="28"/>
        </w:rPr>
        <w:t xml:space="preserve">two maxillary processes </w:t>
      </w:r>
      <w:r w:rsidRPr="00E47F31">
        <w:rPr>
          <w:rFonts w:asciiTheme="majorBidi" w:hAnsiTheme="majorBidi" w:cstheme="majorBidi"/>
          <w:sz w:val="28"/>
          <w:szCs w:val="28"/>
        </w:rPr>
        <w:t xml:space="preserve">grow medially below developing eyes and fuse with the lateral nasal process to form the </w:t>
      </w:r>
      <w:r w:rsidRPr="00E47F31">
        <w:rPr>
          <w:rFonts w:asciiTheme="majorBidi" w:hAnsiTheme="majorBidi" w:cstheme="majorBidi"/>
          <w:b/>
          <w:bCs/>
          <w:sz w:val="28"/>
          <w:szCs w:val="28"/>
        </w:rPr>
        <w:t>lateral part of the upper</w:t>
      </w:r>
      <w:r w:rsidRPr="00E47F31">
        <w:rPr>
          <w:rFonts w:asciiTheme="majorBidi" w:hAnsiTheme="majorBidi" w:cstheme="majorBidi"/>
          <w:sz w:val="28"/>
          <w:szCs w:val="28"/>
        </w:rPr>
        <w:t xml:space="preserve"> </w:t>
      </w:r>
      <w:r w:rsidRPr="00E47F31">
        <w:rPr>
          <w:rFonts w:asciiTheme="majorBidi" w:hAnsiTheme="majorBidi" w:cstheme="majorBidi"/>
          <w:b/>
          <w:bCs/>
          <w:sz w:val="28"/>
          <w:szCs w:val="28"/>
        </w:rPr>
        <w:t>lip and upper part of the cheek</w:t>
      </w:r>
      <w:r w:rsidRPr="00E47F31">
        <w:rPr>
          <w:rFonts w:asciiTheme="majorBidi" w:hAnsiTheme="majorBidi" w:cstheme="majorBidi"/>
          <w:sz w:val="28"/>
          <w:szCs w:val="28"/>
        </w:rPr>
        <w:t>.</w:t>
      </w:r>
    </w:p>
    <w:p w:rsidR="001A2797" w:rsidRPr="00E47F31" w:rsidRDefault="001A2797" w:rsidP="001A2797">
      <w:pPr>
        <w:pStyle w:val="ListParagraph"/>
        <w:numPr>
          <w:ilvl w:val="0"/>
          <w:numId w:val="1"/>
        </w:numPr>
        <w:autoSpaceDE w:val="0"/>
        <w:autoSpaceDN w:val="0"/>
        <w:bidi w:val="0"/>
        <w:adjustRightInd w:val="0"/>
        <w:spacing w:after="0" w:line="240" w:lineRule="auto"/>
        <w:jc w:val="both"/>
        <w:rPr>
          <w:rFonts w:asciiTheme="majorBidi" w:hAnsiTheme="majorBidi" w:cstheme="majorBidi"/>
          <w:b/>
          <w:bCs/>
          <w:sz w:val="28"/>
          <w:szCs w:val="28"/>
        </w:rPr>
      </w:pPr>
      <w:r w:rsidRPr="00E47F31">
        <w:rPr>
          <w:rFonts w:asciiTheme="majorBidi" w:hAnsiTheme="majorBidi" w:cstheme="majorBidi"/>
          <w:sz w:val="28"/>
          <w:szCs w:val="28"/>
        </w:rPr>
        <w:lastRenderedPageBreak/>
        <w:t xml:space="preserve">The two mandibular processes form the </w:t>
      </w:r>
      <w:r w:rsidRPr="00E47F31">
        <w:rPr>
          <w:rFonts w:asciiTheme="majorBidi" w:hAnsiTheme="majorBidi" w:cstheme="majorBidi"/>
          <w:b/>
          <w:bCs/>
          <w:sz w:val="28"/>
          <w:szCs w:val="28"/>
        </w:rPr>
        <w:t>lower lip and lower part of the cheek</w:t>
      </w:r>
      <w:r w:rsidRPr="00E47F31">
        <w:rPr>
          <w:rFonts w:asciiTheme="majorBidi" w:hAnsiTheme="majorBidi" w:cstheme="majorBidi"/>
          <w:sz w:val="28"/>
          <w:szCs w:val="28"/>
        </w:rPr>
        <w:t>.</w:t>
      </w:r>
    </w:p>
    <w:p w:rsidR="001A2797" w:rsidRPr="00E47F31" w:rsidRDefault="001A2797" w:rsidP="001A2797">
      <w:pPr>
        <w:pStyle w:val="ListParagraph"/>
        <w:numPr>
          <w:ilvl w:val="0"/>
          <w:numId w:val="1"/>
        </w:numPr>
        <w:bidi w:val="0"/>
        <w:jc w:val="both"/>
        <w:rPr>
          <w:rFonts w:asciiTheme="majorBidi" w:hAnsiTheme="majorBidi" w:cstheme="majorBidi"/>
          <w:sz w:val="28"/>
          <w:szCs w:val="28"/>
        </w:rPr>
      </w:pPr>
      <w:r w:rsidRPr="00E47F31">
        <w:rPr>
          <w:rFonts w:asciiTheme="majorBidi" w:hAnsiTheme="majorBidi" w:cstheme="majorBidi"/>
          <w:sz w:val="28"/>
          <w:szCs w:val="28"/>
        </w:rPr>
        <w:t xml:space="preserve">The surface opening of stomodeum forms the </w:t>
      </w:r>
      <w:r w:rsidRPr="00E47F31">
        <w:rPr>
          <w:rFonts w:asciiTheme="majorBidi" w:hAnsiTheme="majorBidi" w:cstheme="majorBidi"/>
          <w:b/>
          <w:bCs/>
          <w:sz w:val="28"/>
          <w:szCs w:val="28"/>
        </w:rPr>
        <w:t>oral fissure</w:t>
      </w:r>
      <w:r w:rsidRPr="00E47F31">
        <w:rPr>
          <w:rFonts w:asciiTheme="majorBidi" w:hAnsiTheme="majorBidi" w:cstheme="majorBidi"/>
          <w:sz w:val="28"/>
          <w:szCs w:val="28"/>
        </w:rPr>
        <w:t>. Lateral angles of the oral fissure are formed by fusion of maxillary and mandibular processes.</w:t>
      </w:r>
    </w:p>
    <w:p w:rsidR="001A2797" w:rsidRPr="00E47F31" w:rsidRDefault="001A2797" w:rsidP="001A2797">
      <w:pPr>
        <w:autoSpaceDE w:val="0"/>
        <w:autoSpaceDN w:val="0"/>
        <w:bidi w:val="0"/>
        <w:adjustRightInd w:val="0"/>
        <w:spacing w:after="0" w:line="240" w:lineRule="auto"/>
        <w:rPr>
          <w:noProof/>
          <w:sz w:val="28"/>
          <w:szCs w:val="28"/>
        </w:rPr>
      </w:pPr>
      <w:r w:rsidRPr="00E47F31">
        <w:rPr>
          <w:noProof/>
          <w:sz w:val="28"/>
          <w:szCs w:val="28"/>
        </w:rPr>
        <w:drawing>
          <wp:inline distT="0" distB="0" distL="0" distR="0" wp14:anchorId="616EC517" wp14:editId="718BDEEA">
            <wp:extent cx="48387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535" t="50988" r="33053" b="12741"/>
                    <a:stretch/>
                  </pic:blipFill>
                  <pic:spPr bwMode="auto">
                    <a:xfrm>
                      <a:off x="0" y="0"/>
                      <a:ext cx="4983533" cy="2854740"/>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noProof/>
          <w:sz w:val="28"/>
          <w:szCs w:val="28"/>
        </w:rPr>
        <w:drawing>
          <wp:inline distT="0" distB="0" distL="0" distR="0" wp14:anchorId="1DF3B5DD" wp14:editId="2994A6B2">
            <wp:extent cx="432435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121" t="40668" r="27326" b="19460"/>
                    <a:stretch/>
                  </pic:blipFill>
                  <pic:spPr bwMode="auto">
                    <a:xfrm>
                      <a:off x="0" y="0"/>
                      <a:ext cx="4382246" cy="2866800"/>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rFonts w:asciiTheme="majorBidi" w:hAnsiTheme="majorBidi" w:cstheme="majorBidi"/>
          <w:b/>
          <w:bCs/>
          <w:sz w:val="28"/>
          <w:szCs w:val="28"/>
        </w:rPr>
        <w:t>Secondary palate</w:t>
      </w:r>
    </w:p>
    <w:p w:rsidR="001A2797" w:rsidRPr="00E47F31" w:rsidRDefault="001A2797" w:rsidP="001A2797">
      <w:pPr>
        <w:autoSpaceDE w:val="0"/>
        <w:autoSpaceDN w:val="0"/>
        <w:bidi w:val="0"/>
        <w:adjustRightInd w:val="0"/>
        <w:spacing w:after="0" w:line="240" w:lineRule="auto"/>
        <w:jc w:val="right"/>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The secondary palate forms from outgrowths of the maxillary prominences of pharyngeal arch 1 called the </w:t>
      </w:r>
      <w:r w:rsidRPr="00E47F31">
        <w:rPr>
          <w:rFonts w:asciiTheme="majorBidi" w:hAnsiTheme="majorBidi" w:cstheme="majorBidi"/>
          <w:b/>
          <w:bCs/>
          <w:sz w:val="28"/>
          <w:szCs w:val="28"/>
        </w:rPr>
        <w:t>palatine shelves</w:t>
      </w:r>
      <w:r w:rsidRPr="00E47F31">
        <w:rPr>
          <w:rFonts w:asciiTheme="majorBidi" w:hAnsiTheme="majorBidi" w:cstheme="majorBidi"/>
          <w:sz w:val="28"/>
          <w:szCs w:val="28"/>
        </w:rPr>
        <w:t xml:space="preserve">. </w:t>
      </w:r>
      <w:r w:rsidRPr="00E47F31">
        <w:rPr>
          <w:rFonts w:asciiTheme="majorBidi" w:hAnsiTheme="majorBidi" w:cstheme="majorBidi"/>
          <w:b/>
          <w:bCs/>
          <w:sz w:val="28"/>
          <w:szCs w:val="28"/>
        </w:rPr>
        <w:t xml:space="preserve"> </w:t>
      </w:r>
      <w:r w:rsidRPr="00E47F31">
        <w:rPr>
          <w:rFonts w:asciiTheme="majorBidi" w:hAnsiTheme="majorBidi" w:cstheme="majorBidi"/>
          <w:sz w:val="28"/>
          <w:szCs w:val="28"/>
        </w:rPr>
        <w:t xml:space="preserve">Initially the palatine shelves project downward on either side of the tongue but later attain a horizontal position and fuse along the </w:t>
      </w:r>
      <w:r w:rsidRPr="00E47F31">
        <w:rPr>
          <w:rFonts w:asciiTheme="majorBidi" w:hAnsiTheme="majorBidi" w:cstheme="majorBidi"/>
          <w:b/>
          <w:bCs/>
          <w:sz w:val="28"/>
          <w:szCs w:val="28"/>
        </w:rPr>
        <w:t xml:space="preserve">palatine raphe </w:t>
      </w:r>
      <w:r w:rsidRPr="00E47F31">
        <w:rPr>
          <w:rFonts w:asciiTheme="majorBidi" w:hAnsiTheme="majorBidi" w:cstheme="majorBidi"/>
          <w:sz w:val="28"/>
          <w:szCs w:val="28"/>
        </w:rPr>
        <w:t xml:space="preserve">to form the </w:t>
      </w:r>
      <w:r w:rsidRPr="00E47F31">
        <w:rPr>
          <w:rFonts w:asciiTheme="majorBidi" w:hAnsiTheme="majorBidi" w:cstheme="majorBidi"/>
          <w:b/>
          <w:bCs/>
          <w:sz w:val="28"/>
          <w:szCs w:val="28"/>
        </w:rPr>
        <w:t>secondary palate</w:t>
      </w:r>
      <w:r w:rsidRPr="00E47F31">
        <w:rPr>
          <w:rFonts w:asciiTheme="majorBidi" w:hAnsiTheme="majorBidi" w:cstheme="majorBidi"/>
          <w:sz w:val="28"/>
          <w:szCs w:val="28"/>
        </w:rPr>
        <w:t>.</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b/>
          <w:bCs/>
          <w:sz w:val="28"/>
          <w:szCs w:val="28"/>
        </w:rPr>
        <w:lastRenderedPageBreak/>
        <w:t xml:space="preserve"> </w:t>
      </w:r>
      <w:r w:rsidRPr="00E47F31">
        <w:rPr>
          <w:rFonts w:asciiTheme="majorBidi" w:hAnsiTheme="majorBidi" w:cstheme="majorBidi"/>
          <w:sz w:val="28"/>
          <w:szCs w:val="28"/>
        </w:rPr>
        <w:t xml:space="preserve">The primary and secondary palate fuse at the </w:t>
      </w:r>
      <w:r w:rsidRPr="00E47F31">
        <w:rPr>
          <w:rFonts w:asciiTheme="majorBidi" w:hAnsiTheme="majorBidi" w:cstheme="majorBidi"/>
          <w:b/>
          <w:bCs/>
          <w:sz w:val="28"/>
          <w:szCs w:val="28"/>
        </w:rPr>
        <w:t xml:space="preserve">incisive foramen </w:t>
      </w:r>
      <w:r w:rsidRPr="00E47F31">
        <w:rPr>
          <w:rFonts w:asciiTheme="majorBidi" w:hAnsiTheme="majorBidi" w:cstheme="majorBidi"/>
          <w:sz w:val="28"/>
          <w:szCs w:val="28"/>
        </w:rPr>
        <w:t xml:space="preserve">to form the </w:t>
      </w:r>
      <w:r w:rsidRPr="00E47F31">
        <w:rPr>
          <w:rFonts w:asciiTheme="majorBidi" w:hAnsiTheme="majorBidi" w:cstheme="majorBidi"/>
          <w:b/>
          <w:bCs/>
          <w:sz w:val="28"/>
          <w:szCs w:val="28"/>
        </w:rPr>
        <w:t>definitive palate</w:t>
      </w:r>
      <w:r w:rsidRPr="00E47F31">
        <w:rPr>
          <w:rFonts w:asciiTheme="majorBidi" w:hAnsiTheme="majorBidi" w:cstheme="majorBidi"/>
          <w:sz w:val="28"/>
          <w:szCs w:val="28"/>
        </w:rPr>
        <w:t xml:space="preserve">. </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Bone develops in both the primary palate and anterior part of the secondary palate. Bone does not develop in the posterior part of the secondary palate, which eventually forms the </w:t>
      </w:r>
      <w:r w:rsidRPr="00E47F31">
        <w:rPr>
          <w:rFonts w:asciiTheme="majorBidi" w:hAnsiTheme="majorBidi" w:cstheme="majorBidi"/>
          <w:b/>
          <w:bCs/>
          <w:sz w:val="28"/>
          <w:szCs w:val="28"/>
        </w:rPr>
        <w:t>soft</w:t>
      </w:r>
      <w:r w:rsidRPr="00E47F31">
        <w:rPr>
          <w:rFonts w:asciiTheme="majorBidi" w:hAnsiTheme="majorBidi" w:cstheme="majorBidi"/>
          <w:sz w:val="28"/>
          <w:szCs w:val="28"/>
        </w:rPr>
        <w:t xml:space="preserve"> </w:t>
      </w:r>
      <w:r w:rsidRPr="00E47F31">
        <w:rPr>
          <w:rFonts w:asciiTheme="majorBidi" w:hAnsiTheme="majorBidi" w:cstheme="majorBidi"/>
          <w:b/>
          <w:bCs/>
          <w:sz w:val="28"/>
          <w:szCs w:val="28"/>
        </w:rPr>
        <w:t xml:space="preserve">palate </w:t>
      </w:r>
      <w:r w:rsidRPr="00E47F31">
        <w:rPr>
          <w:rFonts w:asciiTheme="majorBidi" w:hAnsiTheme="majorBidi" w:cstheme="majorBidi"/>
          <w:sz w:val="28"/>
          <w:szCs w:val="28"/>
        </w:rPr>
        <w:t xml:space="preserve">and </w:t>
      </w:r>
      <w:r w:rsidRPr="00E47F31">
        <w:rPr>
          <w:rFonts w:asciiTheme="majorBidi" w:hAnsiTheme="majorBidi" w:cstheme="majorBidi"/>
          <w:b/>
          <w:bCs/>
          <w:sz w:val="28"/>
          <w:szCs w:val="28"/>
        </w:rPr>
        <w:t>uvula</w:t>
      </w:r>
      <w:r w:rsidRPr="00E47F31">
        <w:rPr>
          <w:rFonts w:asciiTheme="majorBidi" w:hAnsiTheme="majorBidi" w:cstheme="majorBidi"/>
          <w:sz w:val="28"/>
          <w:szCs w:val="28"/>
        </w:rPr>
        <w:t>.</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rFonts w:asciiTheme="majorBidi" w:hAnsiTheme="majorBidi" w:cstheme="majorBidi"/>
          <w:sz w:val="28"/>
          <w:szCs w:val="28"/>
        </w:rPr>
        <w:t xml:space="preserve">The </w:t>
      </w:r>
      <w:r w:rsidRPr="00E47F31">
        <w:rPr>
          <w:rFonts w:asciiTheme="majorBidi" w:hAnsiTheme="majorBidi" w:cstheme="majorBidi"/>
          <w:b/>
          <w:bCs/>
          <w:sz w:val="28"/>
          <w:szCs w:val="28"/>
        </w:rPr>
        <w:t xml:space="preserve">nasal septum </w:t>
      </w:r>
      <w:r w:rsidRPr="00E47F31">
        <w:rPr>
          <w:rFonts w:asciiTheme="majorBidi" w:hAnsiTheme="majorBidi" w:cstheme="majorBidi"/>
          <w:sz w:val="28"/>
          <w:szCs w:val="28"/>
        </w:rPr>
        <w:t>develops from the medial nasal prominences and fuses with the definitive palate</w:t>
      </w:r>
      <w:r w:rsidRPr="00E47F31">
        <w:rPr>
          <w:rFonts w:asciiTheme="majorBidi" w:hAnsiTheme="majorBidi" w:cstheme="majorBidi"/>
          <w:b/>
          <w:bCs/>
          <w:sz w:val="28"/>
          <w:szCs w:val="28"/>
        </w:rPr>
        <w:t xml:space="preserve"> </w:t>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noProof/>
          <w:sz w:val="28"/>
          <w:szCs w:val="28"/>
        </w:rPr>
        <w:drawing>
          <wp:inline distT="0" distB="0" distL="0" distR="0" wp14:anchorId="46CBB21C" wp14:editId="0F7CC5E6">
            <wp:extent cx="5565775" cy="2600325"/>
            <wp:effectExtent l="0" t="0" r="0" b="9525"/>
            <wp:docPr id="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17" t="21833" r="20572" b="36981"/>
                    <a:stretch/>
                  </pic:blipFill>
                  <pic:spPr bwMode="auto">
                    <a:xfrm>
                      <a:off x="0" y="0"/>
                      <a:ext cx="5716873" cy="2670918"/>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hAnsiTheme="majorBidi" w:cstheme="majorBidi"/>
          <w:sz w:val="28"/>
          <w:szCs w:val="28"/>
        </w:rPr>
        <w:t xml:space="preserve">Anteriorly, the shelves fuse with the triangular primary palate, and the </w:t>
      </w:r>
      <w:r w:rsidRPr="00E47F31">
        <w:rPr>
          <w:rFonts w:asciiTheme="majorBidi" w:hAnsiTheme="majorBidi" w:cstheme="majorBidi"/>
          <w:b/>
          <w:bCs/>
          <w:sz w:val="28"/>
          <w:szCs w:val="28"/>
        </w:rPr>
        <w:t xml:space="preserve">incisive foramen </w:t>
      </w:r>
      <w:r w:rsidRPr="00E47F31">
        <w:rPr>
          <w:rFonts w:asciiTheme="majorBidi" w:hAnsiTheme="majorBidi" w:cstheme="majorBidi"/>
          <w:sz w:val="28"/>
          <w:szCs w:val="28"/>
        </w:rPr>
        <w:t>is the midline landmark between the primary and secondary palates. At the same time as the palatine shelves fuse, the nasal septum grows down and joins with the cephalic aspect of the newly formed palate.</w:t>
      </w:r>
    </w:p>
    <w:p w:rsidR="001A2797" w:rsidRPr="00E47F31" w:rsidRDefault="001A2797" w:rsidP="001A2797">
      <w:pPr>
        <w:autoSpaceDE w:val="0"/>
        <w:autoSpaceDN w:val="0"/>
        <w:bidi w:val="0"/>
        <w:adjustRightInd w:val="0"/>
        <w:spacing w:after="0" w:line="240" w:lineRule="auto"/>
        <w:jc w:val="both"/>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noProof/>
          <w:sz w:val="28"/>
          <w:szCs w:val="28"/>
        </w:rPr>
        <w:drawing>
          <wp:inline distT="0" distB="0" distL="0" distR="0" wp14:anchorId="40C0C758" wp14:editId="3EAC5D0D">
            <wp:extent cx="55499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407" t="16650" r="25238" b="52825"/>
                    <a:stretch/>
                  </pic:blipFill>
                  <pic:spPr bwMode="auto">
                    <a:xfrm>
                      <a:off x="0" y="0"/>
                      <a:ext cx="5610325" cy="2349404"/>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r w:rsidRPr="00E47F31">
        <w:rPr>
          <w:noProof/>
          <w:sz w:val="28"/>
          <w:szCs w:val="28"/>
        </w:rPr>
        <w:lastRenderedPageBreak/>
        <w:drawing>
          <wp:inline distT="0" distB="0" distL="0" distR="0" wp14:anchorId="757A8CA4" wp14:editId="7972765F">
            <wp:extent cx="5542059" cy="226568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91" t="49950" r="30847" b="15659"/>
                    <a:stretch/>
                  </pic:blipFill>
                  <pic:spPr bwMode="auto">
                    <a:xfrm>
                      <a:off x="0" y="0"/>
                      <a:ext cx="5675515" cy="2320239"/>
                    </a:xfrm>
                    <a:prstGeom prst="rect">
                      <a:avLst/>
                    </a:prstGeom>
                    <a:ln>
                      <a:noFill/>
                    </a:ln>
                    <a:extLst>
                      <a:ext uri="{53640926-AAD7-44D8-BBD7-CCE9431645EC}">
                        <a14:shadowObscured xmlns:a14="http://schemas.microsoft.com/office/drawing/2010/main"/>
                      </a:ext>
                    </a:extLst>
                  </pic:spPr>
                </pic:pic>
              </a:graphicData>
            </a:graphic>
          </wp:inline>
        </w:drawing>
      </w:r>
    </w:p>
    <w:p w:rsidR="001A2797" w:rsidRPr="00E47F31" w:rsidRDefault="001A2797" w:rsidP="001A2797">
      <w:pPr>
        <w:autoSpaceDE w:val="0"/>
        <w:autoSpaceDN w:val="0"/>
        <w:bidi w:val="0"/>
        <w:adjustRightInd w:val="0"/>
        <w:spacing w:after="0" w:line="240" w:lineRule="auto"/>
        <w:rPr>
          <w:rFonts w:asciiTheme="majorBidi" w:hAnsiTheme="majorBidi" w:cstheme="majorBidi"/>
          <w:b/>
          <w:bCs/>
          <w:sz w:val="28"/>
          <w:szCs w:val="28"/>
        </w:rPr>
      </w:pPr>
    </w:p>
    <w:p w:rsidR="001A2797" w:rsidRPr="00E47F31" w:rsidRDefault="001A2797" w:rsidP="001A2797">
      <w:pPr>
        <w:autoSpaceDE w:val="0"/>
        <w:autoSpaceDN w:val="0"/>
        <w:bidi w:val="0"/>
        <w:adjustRightInd w:val="0"/>
        <w:spacing w:after="0" w:line="240" w:lineRule="auto"/>
        <w:ind w:left="283"/>
        <w:rPr>
          <w:rFonts w:asciiTheme="majorBidi" w:hAnsiTheme="majorBidi" w:cstheme="majorBidi"/>
          <w:b/>
          <w:bCs/>
          <w:sz w:val="28"/>
          <w:szCs w:val="28"/>
        </w:rPr>
      </w:pPr>
    </w:p>
    <w:p w:rsidR="005609FD" w:rsidRDefault="005609FD">
      <w:pPr>
        <w:rPr>
          <w:lang w:bidi="ar-IQ"/>
        </w:rPr>
      </w:pPr>
    </w:p>
    <w:sectPr w:rsidR="005609FD" w:rsidSect="00181E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CF5804"/>
    <w:multiLevelType w:val="hybridMultilevel"/>
    <w:tmpl w:val="BCB29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A3"/>
    <w:rsid w:val="00181E1E"/>
    <w:rsid w:val="001A2797"/>
    <w:rsid w:val="003363A3"/>
    <w:rsid w:val="005609FD"/>
    <w:rsid w:val="00D46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5F05"/>
  <w15:chartTrackingRefBased/>
  <w15:docId w15:val="{342E5123-E4CD-4514-B650-0A2DAE5E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7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7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56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2225</Characters>
  <Application>Microsoft Office Word</Application>
  <DocSecurity>0</DocSecurity>
  <Lines>18</Lines>
  <Paragraphs>5</Paragraphs>
  <ScaleCrop>false</ScaleCrop>
  <Company>SACC</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cp:revision>
  <dcterms:created xsi:type="dcterms:W3CDTF">2023-09-03T11:39:00Z</dcterms:created>
  <dcterms:modified xsi:type="dcterms:W3CDTF">2023-09-03T11:57:00Z</dcterms:modified>
</cp:coreProperties>
</file>