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8E0" w:rsidRPr="00E47F31" w:rsidRDefault="004C08E0" w:rsidP="004C08E0">
      <w:pPr>
        <w:autoSpaceDE w:val="0"/>
        <w:autoSpaceDN w:val="0"/>
        <w:bidi w:val="0"/>
        <w:adjustRightInd w:val="0"/>
        <w:spacing w:after="0" w:line="240" w:lineRule="auto"/>
        <w:jc w:val="both"/>
        <w:rPr>
          <w:rFonts w:asciiTheme="majorBidi" w:eastAsiaTheme="majorEastAsia" w:hAnsiTheme="majorBidi" w:cstheme="majorBidi"/>
          <w:b/>
          <w:bCs/>
          <w:kern w:val="24"/>
          <w:sz w:val="28"/>
          <w:szCs w:val="28"/>
          <w:lang w:bidi="ar-IQ"/>
        </w:rPr>
      </w:pPr>
      <w:r w:rsidRPr="00E47F31">
        <w:rPr>
          <w:rFonts w:asciiTheme="majorBidi" w:eastAsiaTheme="majorEastAsia" w:hAnsiTheme="majorBidi" w:cstheme="majorBidi"/>
          <w:b/>
          <w:bCs/>
          <w:kern w:val="24"/>
          <w:sz w:val="28"/>
          <w:szCs w:val="28"/>
          <w:lang w:bidi="ar-IQ"/>
        </w:rPr>
        <w:t xml:space="preserve">Lec.16 </w:t>
      </w:r>
    </w:p>
    <w:p w:rsidR="00BE1F01" w:rsidRDefault="00BE1F01" w:rsidP="00BE1F01">
      <w:pPr>
        <w:autoSpaceDE w:val="0"/>
        <w:autoSpaceDN w:val="0"/>
        <w:bidi w:val="0"/>
        <w:adjustRightInd w:val="0"/>
        <w:spacing w:after="0" w:line="240" w:lineRule="auto"/>
        <w:rPr>
          <w:rFonts w:asciiTheme="majorBidi" w:hAnsiTheme="majorBidi" w:cstheme="majorBidi"/>
          <w:b/>
          <w:bCs/>
          <w:sz w:val="28"/>
          <w:szCs w:val="28"/>
        </w:rPr>
      </w:pPr>
      <w:bookmarkStart w:id="0" w:name="_GoBack"/>
      <w:bookmarkEnd w:id="0"/>
    </w:p>
    <w:p w:rsidR="00BE1F01" w:rsidRDefault="00BE1F01" w:rsidP="00BE1F01">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 xml:space="preserve">Dr. </w:t>
      </w:r>
      <w:proofErr w:type="spellStart"/>
      <w:r>
        <w:rPr>
          <w:rFonts w:asciiTheme="majorBidi" w:hAnsiTheme="majorBidi" w:cstheme="majorBidi"/>
          <w:b/>
          <w:bCs/>
          <w:sz w:val="28"/>
          <w:szCs w:val="28"/>
        </w:rPr>
        <w:t>Hulal</w:t>
      </w:r>
      <w:proofErr w:type="spellEnd"/>
      <w:r>
        <w:rPr>
          <w:rFonts w:asciiTheme="majorBidi" w:hAnsiTheme="majorBidi" w:cstheme="majorBidi"/>
          <w:b/>
          <w:bCs/>
          <w:sz w:val="28"/>
          <w:szCs w:val="28"/>
        </w:rPr>
        <w:t xml:space="preserve"> Saleh</w:t>
      </w:r>
    </w:p>
    <w:p w:rsidR="004C08E0" w:rsidRPr="00E47F31" w:rsidRDefault="004C08E0" w:rsidP="004C08E0">
      <w:pPr>
        <w:autoSpaceDE w:val="0"/>
        <w:autoSpaceDN w:val="0"/>
        <w:bidi w:val="0"/>
        <w:adjustRightInd w:val="0"/>
        <w:spacing w:after="0" w:line="240" w:lineRule="auto"/>
        <w:jc w:val="both"/>
        <w:rPr>
          <w:rFonts w:asciiTheme="majorBidi" w:eastAsiaTheme="majorEastAsia" w:hAnsiTheme="majorBidi" w:cstheme="majorBidi"/>
          <w:b/>
          <w:bCs/>
          <w:kern w:val="24"/>
          <w:sz w:val="28"/>
          <w:szCs w:val="28"/>
        </w:rPr>
      </w:pPr>
    </w:p>
    <w:p w:rsidR="004C08E0" w:rsidRPr="00E47F31" w:rsidRDefault="004C08E0" w:rsidP="004C08E0">
      <w:pPr>
        <w:autoSpaceDE w:val="0"/>
        <w:autoSpaceDN w:val="0"/>
        <w:bidi w:val="0"/>
        <w:adjustRightInd w:val="0"/>
        <w:spacing w:after="0" w:line="240" w:lineRule="auto"/>
        <w:jc w:val="both"/>
        <w:rPr>
          <w:rFonts w:asciiTheme="majorBidi" w:hAnsiTheme="majorBidi" w:cstheme="majorBidi"/>
          <w:sz w:val="28"/>
          <w:szCs w:val="28"/>
        </w:rPr>
      </w:pPr>
      <w:r w:rsidRPr="00E47F31">
        <w:rPr>
          <w:rFonts w:asciiTheme="majorBidi" w:eastAsiaTheme="majorEastAsia" w:hAnsiTheme="majorBidi" w:cstheme="majorBidi"/>
          <w:b/>
          <w:bCs/>
          <w:kern w:val="24"/>
          <w:sz w:val="28"/>
          <w:szCs w:val="28"/>
        </w:rPr>
        <w:t>Derivatives of oral cavity</w:t>
      </w:r>
    </w:p>
    <w:p w:rsidR="004C08E0" w:rsidRPr="00E47F31" w:rsidRDefault="004C08E0" w:rsidP="004C08E0">
      <w:pPr>
        <w:autoSpaceDE w:val="0"/>
        <w:autoSpaceDN w:val="0"/>
        <w:bidi w:val="0"/>
        <w:adjustRightInd w:val="0"/>
        <w:spacing w:after="0" w:line="240" w:lineRule="auto"/>
        <w:jc w:val="both"/>
        <w:rPr>
          <w:rFonts w:asciiTheme="majorBidi" w:hAnsiTheme="majorBidi" w:cstheme="majorBidi"/>
          <w:sz w:val="28"/>
          <w:szCs w:val="28"/>
        </w:rPr>
      </w:pP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 xml:space="preserve">The derivatives of oral cavity are the </w:t>
      </w:r>
      <w:r w:rsidRPr="00E47F31">
        <w:rPr>
          <w:rFonts w:asciiTheme="majorBidi" w:eastAsiaTheme="minorEastAsia" w:hAnsiTheme="majorBidi" w:cstheme="majorBidi"/>
          <w:b/>
          <w:bCs/>
          <w:kern w:val="24"/>
          <w:sz w:val="28"/>
          <w:szCs w:val="28"/>
          <w:lang w:bidi="ar-IQ"/>
        </w:rPr>
        <w:t xml:space="preserve">salivary glands </w:t>
      </w:r>
      <w:r w:rsidRPr="00E47F31">
        <w:rPr>
          <w:rFonts w:asciiTheme="majorBidi" w:eastAsiaTheme="minorEastAsia" w:hAnsiTheme="majorBidi" w:cstheme="majorBidi"/>
          <w:kern w:val="24"/>
          <w:sz w:val="28"/>
          <w:szCs w:val="28"/>
          <w:lang w:bidi="ar-IQ"/>
        </w:rPr>
        <w:t xml:space="preserve">which appear as </w:t>
      </w:r>
      <w:r w:rsidRPr="00E47F31">
        <w:rPr>
          <w:rFonts w:asciiTheme="majorBidi" w:eastAsiaTheme="minorEastAsia" w:hAnsiTheme="majorBidi" w:cstheme="majorBidi"/>
          <w:kern w:val="24"/>
          <w:sz w:val="28"/>
          <w:szCs w:val="28"/>
          <w:u w:val="single"/>
          <w:lang w:bidi="ar-IQ"/>
        </w:rPr>
        <w:t>epithelial buds from oral cavity</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r w:rsidRPr="00E47F31">
        <w:rPr>
          <w:rFonts w:asciiTheme="majorBidi" w:eastAsiaTheme="minorEastAsia" w:hAnsiTheme="majorBidi" w:cstheme="majorBidi"/>
          <w:b/>
          <w:bCs/>
          <w:kern w:val="24"/>
          <w:sz w:val="28"/>
          <w:szCs w:val="28"/>
          <w:lang w:bidi="ar-IQ"/>
        </w:rPr>
        <w:t>Parotid gland:</w:t>
      </w:r>
      <w:r w:rsidRPr="00E47F31">
        <w:rPr>
          <w:rFonts w:asciiTheme="majorBidi" w:eastAsiaTheme="minorEastAsia" w:hAnsiTheme="majorBidi" w:cstheme="majorBidi"/>
          <w:kern w:val="24"/>
          <w:sz w:val="28"/>
          <w:szCs w:val="28"/>
          <w:lang w:bidi="ar-IQ"/>
        </w:rPr>
        <w:t xml:space="preserve">                </w:t>
      </w:r>
      <w:r w:rsidRPr="00E47F31">
        <w:rPr>
          <w:rFonts w:asciiTheme="majorBidi" w:eastAsiaTheme="minorEastAsia" w:hAnsiTheme="majorBidi" w:cstheme="majorBidi"/>
          <w:kern w:val="24"/>
          <w:sz w:val="28"/>
          <w:szCs w:val="28"/>
          <w:u w:val="single"/>
          <w:lang w:bidi="ar-IQ"/>
        </w:rPr>
        <w:t>ectodermal</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r w:rsidRPr="00E47F31">
        <w:rPr>
          <w:rFonts w:asciiTheme="majorBidi" w:eastAsiaTheme="minorEastAsia" w:hAnsiTheme="majorBidi" w:cstheme="majorBidi"/>
          <w:b/>
          <w:bCs/>
          <w:kern w:val="24"/>
          <w:sz w:val="28"/>
          <w:szCs w:val="28"/>
          <w:lang w:bidi="ar-IQ"/>
        </w:rPr>
        <w:t>Submandibular gland:</w:t>
      </w:r>
      <w:r w:rsidRPr="00E47F31">
        <w:rPr>
          <w:rFonts w:asciiTheme="majorBidi" w:eastAsiaTheme="minorEastAsia" w:hAnsiTheme="majorBidi" w:cstheme="majorBidi"/>
          <w:kern w:val="24"/>
          <w:sz w:val="28"/>
          <w:szCs w:val="28"/>
          <w:lang w:bidi="ar-IQ"/>
        </w:rPr>
        <w:t xml:space="preserve">  endodermal</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r w:rsidRPr="00E47F31">
        <w:rPr>
          <w:rFonts w:asciiTheme="majorBidi" w:eastAsiaTheme="minorEastAsia" w:hAnsiTheme="majorBidi" w:cstheme="majorBidi"/>
          <w:b/>
          <w:bCs/>
          <w:kern w:val="24"/>
          <w:sz w:val="28"/>
          <w:szCs w:val="28"/>
          <w:lang w:bidi="ar-IQ"/>
        </w:rPr>
        <w:t>Sublingual gland:</w:t>
      </w:r>
      <w:r w:rsidRPr="00E47F31">
        <w:rPr>
          <w:rFonts w:asciiTheme="majorBidi" w:eastAsiaTheme="minorEastAsia" w:hAnsiTheme="majorBidi" w:cstheme="majorBidi"/>
          <w:kern w:val="24"/>
          <w:sz w:val="28"/>
          <w:szCs w:val="28"/>
          <w:lang w:bidi="ar-IQ"/>
        </w:rPr>
        <w:t xml:space="preserve">          endodermal.</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 xml:space="preserve">The capsules </w:t>
      </w:r>
      <w:proofErr w:type="spellStart"/>
      <w:r w:rsidRPr="00E47F31">
        <w:rPr>
          <w:rFonts w:asciiTheme="majorBidi" w:eastAsiaTheme="minorEastAsia" w:hAnsiTheme="majorBidi" w:cstheme="majorBidi"/>
          <w:kern w:val="24"/>
          <w:sz w:val="28"/>
          <w:szCs w:val="28"/>
          <w:lang w:bidi="ar-IQ"/>
        </w:rPr>
        <w:t>septae</w:t>
      </w:r>
      <w:proofErr w:type="spellEnd"/>
      <w:r w:rsidRPr="00E47F31">
        <w:rPr>
          <w:rFonts w:asciiTheme="majorBidi" w:eastAsiaTheme="minorEastAsia" w:hAnsiTheme="majorBidi" w:cstheme="majorBidi"/>
          <w:kern w:val="24"/>
          <w:sz w:val="28"/>
          <w:szCs w:val="28"/>
          <w:lang w:bidi="ar-IQ"/>
        </w:rPr>
        <w:t xml:space="preserve"> and connective tissues of the glands are formed from the mesoderm.</w:t>
      </w:r>
      <w:r w:rsidRPr="00E47F31">
        <w:rPr>
          <w:rFonts w:asciiTheme="majorBidi" w:eastAsia="Times New Roman" w:hAnsiTheme="majorBidi" w:cstheme="majorBidi"/>
          <w:sz w:val="28"/>
          <w:szCs w:val="28"/>
          <w:lang w:bidi="ar-IQ"/>
        </w:rPr>
        <w:t xml:space="preserve"> </w:t>
      </w:r>
      <w:r w:rsidRPr="00E47F31">
        <w:rPr>
          <w:rFonts w:asciiTheme="majorBidi" w:eastAsiaTheme="minorEastAsia" w:hAnsiTheme="majorBidi" w:cstheme="majorBidi"/>
          <w:kern w:val="24"/>
          <w:sz w:val="28"/>
          <w:szCs w:val="28"/>
          <w:lang w:bidi="ar-IQ"/>
        </w:rPr>
        <w:t xml:space="preserve">The salivary glands develop as outgrowths of the buccal epithelium. The outgrowths are at first solid and are later canalized. </w:t>
      </w:r>
    </w:p>
    <w:p w:rsidR="004C08E0" w:rsidRPr="00E47F31" w:rsidRDefault="004C08E0" w:rsidP="004C08E0">
      <w:pPr>
        <w:spacing w:before="200" w:after="0" w:line="240" w:lineRule="auto"/>
        <w:jc w:val="right"/>
        <w:rPr>
          <w:rFonts w:asciiTheme="majorBidi" w:eastAsiaTheme="minorEastAsia" w:hAnsiTheme="majorBidi" w:cstheme="majorBidi"/>
          <w:kern w:val="24"/>
          <w:sz w:val="28"/>
          <w:szCs w:val="28"/>
          <w:lang w:bidi="ar-IQ"/>
        </w:rPr>
      </w:pPr>
      <w:r w:rsidRPr="00E47F31">
        <w:rPr>
          <w:rFonts w:asciiTheme="majorBidi" w:eastAsiaTheme="minorEastAsia" w:hAnsiTheme="majorBidi" w:cstheme="majorBidi"/>
          <w:kern w:val="24"/>
          <w:sz w:val="28"/>
          <w:szCs w:val="28"/>
          <w:lang w:bidi="ar-IQ"/>
        </w:rPr>
        <w:t>They branch repeatedly to form the duct system. The terminal parts of the duct system develop into secretory acini.</w:t>
      </w:r>
    </w:p>
    <w:p w:rsidR="004C08E0" w:rsidRPr="00E47F31" w:rsidRDefault="004C08E0" w:rsidP="004C08E0">
      <w:pPr>
        <w:jc w:val="right"/>
        <w:rPr>
          <w:rFonts w:asciiTheme="majorBidi" w:eastAsiaTheme="majorEastAsia" w:hAnsiTheme="majorBidi" w:cstheme="majorBidi"/>
          <w:b/>
          <w:bCs/>
          <w:kern w:val="24"/>
          <w:sz w:val="28"/>
          <w:szCs w:val="28"/>
          <w:lang w:bidi="ar-IQ"/>
        </w:rPr>
      </w:pPr>
    </w:p>
    <w:p w:rsidR="004C08E0" w:rsidRPr="00E47F31" w:rsidRDefault="004C08E0" w:rsidP="004C08E0">
      <w:pPr>
        <w:jc w:val="right"/>
        <w:rPr>
          <w:rFonts w:asciiTheme="majorBidi" w:hAnsiTheme="majorBidi" w:cstheme="majorBidi"/>
          <w:noProof/>
          <w:sz w:val="28"/>
          <w:szCs w:val="28"/>
          <w:rtl/>
          <w:lang w:bidi="ar-IQ"/>
        </w:rPr>
      </w:pPr>
      <w:r w:rsidRPr="00E47F31">
        <w:rPr>
          <w:rFonts w:asciiTheme="majorBidi" w:eastAsiaTheme="majorEastAsia" w:hAnsiTheme="majorBidi" w:cstheme="majorBidi"/>
          <w:b/>
          <w:bCs/>
          <w:kern w:val="24"/>
          <w:sz w:val="28"/>
          <w:szCs w:val="28"/>
        </w:rPr>
        <w:t>Parotid Gland</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It is the first salivary gland to appear (early 6th week). It arises from the oral ectoderm near angle of stomodeum. It grows outward between maxillary and mandibular processes in the form of ectodermal cords of cells.</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r w:rsidRPr="00E47F31">
        <w:rPr>
          <w:rFonts w:asciiTheme="majorBidi" w:eastAsiaTheme="minorEastAsia" w:hAnsiTheme="majorBidi" w:cstheme="majorBidi"/>
          <w:kern w:val="24"/>
          <w:sz w:val="28"/>
          <w:szCs w:val="28"/>
          <w:lang w:bidi="ar-IQ"/>
        </w:rPr>
        <w:t>The proximal part of the outgrowth is canalized to form the parotid duct. The duct recedes from the angle of the mouth to open in the vestibule of the mouth opposite the upper 2</w:t>
      </w:r>
      <w:proofErr w:type="spellStart"/>
      <w:r w:rsidRPr="00E47F31">
        <w:rPr>
          <w:rFonts w:asciiTheme="majorBidi" w:eastAsiaTheme="minorEastAsia" w:hAnsiTheme="majorBidi" w:cstheme="majorBidi"/>
          <w:kern w:val="24"/>
          <w:position w:val="12"/>
          <w:sz w:val="28"/>
          <w:szCs w:val="28"/>
          <w:vertAlign w:val="superscript"/>
          <w:lang w:bidi="ar-IQ"/>
        </w:rPr>
        <w:t>nd</w:t>
      </w:r>
      <w:proofErr w:type="spellEnd"/>
      <w:r w:rsidRPr="00E47F31">
        <w:rPr>
          <w:rFonts w:asciiTheme="majorBidi" w:eastAsiaTheme="minorEastAsia" w:hAnsiTheme="majorBidi" w:cstheme="majorBidi"/>
          <w:kern w:val="24"/>
          <w:sz w:val="28"/>
          <w:szCs w:val="28"/>
          <w:lang w:bidi="ar-IQ"/>
        </w:rPr>
        <w:t xml:space="preserve"> molar tooth.</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The distal part of the outgrowth extends backward to reach a position below the auricle, where it breaks into several buds which form the acini of the gland.</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p>
    <w:p w:rsidR="004C08E0" w:rsidRPr="00E47F31" w:rsidRDefault="004C08E0" w:rsidP="004C08E0">
      <w:pPr>
        <w:rPr>
          <w:rFonts w:asciiTheme="majorBidi" w:hAnsiTheme="majorBidi" w:cstheme="majorBidi"/>
          <w:noProof/>
          <w:sz w:val="28"/>
          <w:szCs w:val="28"/>
          <w:rtl/>
          <w:lang w:bidi="ar-IQ"/>
        </w:rPr>
      </w:pPr>
      <w:r w:rsidRPr="00E47F31">
        <w:rPr>
          <w:noProof/>
          <w:sz w:val="28"/>
          <w:szCs w:val="28"/>
        </w:rPr>
        <w:lastRenderedPageBreak/>
        <w:drawing>
          <wp:inline distT="0" distB="0" distL="0" distR="0" wp14:anchorId="0928398D" wp14:editId="67349709">
            <wp:extent cx="5676181" cy="28892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0924" t="42180" r="17546" b="15346"/>
                    <a:stretch/>
                  </pic:blipFill>
                  <pic:spPr bwMode="auto">
                    <a:xfrm>
                      <a:off x="0" y="0"/>
                      <a:ext cx="5723432" cy="2913301"/>
                    </a:xfrm>
                    <a:prstGeom prst="rect">
                      <a:avLst/>
                    </a:prstGeom>
                    <a:ln>
                      <a:noFill/>
                    </a:ln>
                    <a:extLst>
                      <a:ext uri="{53640926-AAD7-44D8-BBD7-CCE9431645EC}">
                        <a14:shadowObscured xmlns:a14="http://schemas.microsoft.com/office/drawing/2010/main"/>
                      </a:ext>
                    </a:extLst>
                  </pic:spPr>
                </pic:pic>
              </a:graphicData>
            </a:graphic>
          </wp:inline>
        </w:drawing>
      </w:r>
    </w:p>
    <w:p w:rsidR="004C08E0" w:rsidRPr="00E47F31" w:rsidRDefault="004C08E0" w:rsidP="004C08E0">
      <w:pPr>
        <w:rPr>
          <w:rFonts w:asciiTheme="majorBidi" w:hAnsiTheme="majorBidi" w:cstheme="majorBidi"/>
          <w:noProof/>
          <w:sz w:val="28"/>
          <w:szCs w:val="28"/>
          <w:rtl/>
          <w:lang w:bidi="ar-IQ"/>
        </w:rPr>
      </w:pPr>
    </w:p>
    <w:p w:rsidR="004C08E0" w:rsidRPr="00E47F31" w:rsidRDefault="004C08E0" w:rsidP="004C08E0">
      <w:pPr>
        <w:rPr>
          <w:rFonts w:asciiTheme="majorBidi" w:hAnsiTheme="majorBidi" w:cstheme="majorBidi"/>
          <w:noProof/>
          <w:sz w:val="28"/>
          <w:szCs w:val="28"/>
          <w:rtl/>
          <w:lang w:bidi="ar-IQ"/>
        </w:rPr>
      </w:pPr>
    </w:p>
    <w:p w:rsidR="004C08E0" w:rsidRPr="00E47F31" w:rsidRDefault="004C08E0" w:rsidP="004C08E0">
      <w:pPr>
        <w:rPr>
          <w:rFonts w:asciiTheme="majorBidi" w:hAnsiTheme="majorBidi" w:cstheme="majorBidi"/>
          <w:noProof/>
          <w:sz w:val="28"/>
          <w:szCs w:val="28"/>
          <w:rtl/>
          <w:lang w:bidi="ar-IQ"/>
        </w:rPr>
      </w:pPr>
    </w:p>
    <w:p w:rsidR="004C08E0" w:rsidRPr="00E47F31" w:rsidRDefault="004C08E0" w:rsidP="004C08E0">
      <w:pPr>
        <w:jc w:val="right"/>
        <w:rPr>
          <w:rFonts w:asciiTheme="majorBidi" w:hAnsiTheme="majorBidi" w:cstheme="majorBidi"/>
          <w:sz w:val="28"/>
          <w:szCs w:val="28"/>
          <w:rtl/>
          <w:lang w:bidi="ar-IQ"/>
        </w:rPr>
      </w:pPr>
      <w:r w:rsidRPr="00E47F31">
        <w:rPr>
          <w:rFonts w:asciiTheme="majorBidi" w:eastAsiaTheme="majorEastAsia" w:hAnsiTheme="majorBidi" w:cstheme="majorBidi"/>
          <w:b/>
          <w:bCs/>
          <w:kern w:val="24"/>
          <w:sz w:val="28"/>
          <w:szCs w:val="28"/>
          <w:u w:val="single"/>
        </w:rPr>
        <w:t>Submandibular gland</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 xml:space="preserve">It appears in the later part of 6th week, begin as a solid endodermal outgrowth from the </w:t>
      </w:r>
      <w:proofErr w:type="spellStart"/>
      <w:r w:rsidRPr="00E47F31">
        <w:rPr>
          <w:rFonts w:asciiTheme="majorBidi" w:eastAsiaTheme="minorEastAsia" w:hAnsiTheme="majorBidi" w:cstheme="majorBidi"/>
          <w:kern w:val="24"/>
          <w:sz w:val="28"/>
          <w:szCs w:val="28"/>
          <w:lang w:bidi="ar-IQ"/>
        </w:rPr>
        <w:t>alveolo</w:t>
      </w:r>
      <w:proofErr w:type="spellEnd"/>
      <w:r w:rsidRPr="00E47F31">
        <w:rPr>
          <w:rFonts w:asciiTheme="majorBidi" w:eastAsiaTheme="minorEastAsia" w:hAnsiTheme="majorBidi" w:cstheme="majorBidi"/>
          <w:kern w:val="24"/>
          <w:sz w:val="28"/>
          <w:szCs w:val="28"/>
          <w:lang w:bidi="ar-IQ"/>
        </w:rPr>
        <w:t>-lingual groove which lies between the tongue and the alveolar process, in the floor of the mouth.</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r w:rsidRPr="00E47F31">
        <w:rPr>
          <w:rFonts w:asciiTheme="majorBidi" w:eastAsiaTheme="minorEastAsia" w:hAnsiTheme="majorBidi" w:cstheme="majorBidi"/>
          <w:kern w:val="24"/>
          <w:sz w:val="28"/>
          <w:szCs w:val="28"/>
          <w:lang w:bidi="ar-IQ"/>
        </w:rPr>
        <w:t xml:space="preserve"> The outgrowth extends backwards and downwards to a position below the mandible where it breaks in to several buds which form the acini of the gland.  </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The proximal part of the outgrowth is canalized to form the submandibular duct. The anterior part of the duct opens close to the frenulum of the tongue.</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p>
    <w:p w:rsidR="004C08E0" w:rsidRPr="00E47F31" w:rsidRDefault="004C08E0" w:rsidP="004C08E0">
      <w:pPr>
        <w:rPr>
          <w:rFonts w:asciiTheme="majorBidi" w:hAnsiTheme="majorBidi" w:cstheme="majorBidi"/>
          <w:sz w:val="28"/>
          <w:szCs w:val="28"/>
          <w:rtl/>
          <w:lang w:bidi="ar-IQ"/>
        </w:rPr>
      </w:pPr>
      <w:r w:rsidRPr="00E47F31">
        <w:rPr>
          <w:rFonts w:asciiTheme="majorBidi" w:hAnsiTheme="majorBidi" w:cstheme="majorBidi"/>
          <w:noProof/>
          <w:sz w:val="28"/>
          <w:szCs w:val="28"/>
        </w:rPr>
        <w:lastRenderedPageBreak/>
        <w:drawing>
          <wp:inline distT="0" distB="0" distL="0" distR="0" wp14:anchorId="679312AD" wp14:editId="104071F5">
            <wp:extent cx="4951562" cy="2984500"/>
            <wp:effectExtent l="0" t="0" r="1905" b="6350"/>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5"/>
                    <a:srcRect l="45000" t="2459" r="13524" b="7865"/>
                    <a:stretch/>
                  </pic:blipFill>
                  <pic:spPr bwMode="auto">
                    <a:xfrm>
                      <a:off x="0" y="0"/>
                      <a:ext cx="4978188" cy="3000548"/>
                    </a:xfrm>
                    <a:prstGeom prst="rect">
                      <a:avLst/>
                    </a:prstGeom>
                    <a:ln>
                      <a:noFill/>
                    </a:ln>
                    <a:extLst>
                      <a:ext uri="{53640926-AAD7-44D8-BBD7-CCE9431645EC}">
                        <a14:shadowObscured xmlns:a14="http://schemas.microsoft.com/office/drawing/2010/main"/>
                      </a:ext>
                    </a:extLst>
                  </pic:spPr>
                </pic:pic>
              </a:graphicData>
            </a:graphic>
          </wp:inline>
        </w:drawing>
      </w:r>
    </w:p>
    <w:p w:rsidR="004C08E0" w:rsidRPr="00E47F31" w:rsidRDefault="004C08E0" w:rsidP="004C08E0">
      <w:pPr>
        <w:jc w:val="right"/>
        <w:rPr>
          <w:rFonts w:asciiTheme="majorBidi" w:eastAsiaTheme="majorEastAsia" w:hAnsiTheme="majorBidi" w:cstheme="majorBidi"/>
          <w:b/>
          <w:bCs/>
          <w:kern w:val="24"/>
          <w:sz w:val="28"/>
          <w:szCs w:val="28"/>
          <w:rtl/>
          <w:lang w:bidi="ar-IQ"/>
        </w:rPr>
      </w:pPr>
      <w:r w:rsidRPr="00E47F31">
        <w:rPr>
          <w:rFonts w:asciiTheme="majorBidi" w:eastAsiaTheme="majorEastAsia" w:hAnsiTheme="majorBidi" w:cstheme="majorBidi"/>
          <w:b/>
          <w:bCs/>
          <w:kern w:val="24"/>
          <w:sz w:val="28"/>
          <w:szCs w:val="28"/>
        </w:rPr>
        <w:t>Sublingual gland</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It appears during 8th week as multiple endodermal buds from linguogingival sulcus. One or more of the salivary glands may sometimes be absent.</w:t>
      </w:r>
    </w:p>
    <w:p w:rsidR="004C08E0" w:rsidRPr="00E47F31" w:rsidRDefault="004C08E0" w:rsidP="004C08E0">
      <w:pPr>
        <w:bidi w:val="0"/>
        <w:spacing w:before="200" w:after="0" w:line="240" w:lineRule="auto"/>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 xml:space="preserve">It arises as small endodermal buds developing from the </w:t>
      </w:r>
      <w:proofErr w:type="spellStart"/>
      <w:r w:rsidRPr="00E47F31">
        <w:rPr>
          <w:rFonts w:asciiTheme="majorBidi" w:eastAsiaTheme="minorEastAsia" w:hAnsiTheme="majorBidi" w:cstheme="majorBidi"/>
          <w:kern w:val="24"/>
          <w:sz w:val="28"/>
          <w:szCs w:val="28"/>
          <w:lang w:bidi="ar-IQ"/>
        </w:rPr>
        <w:t>alveolo</w:t>
      </w:r>
      <w:proofErr w:type="spellEnd"/>
      <w:r w:rsidRPr="00E47F31">
        <w:rPr>
          <w:rFonts w:asciiTheme="majorBidi" w:eastAsiaTheme="minorEastAsia" w:hAnsiTheme="majorBidi" w:cstheme="majorBidi"/>
          <w:kern w:val="24"/>
          <w:sz w:val="28"/>
          <w:szCs w:val="28"/>
          <w:lang w:bidi="ar-IQ"/>
        </w:rPr>
        <w:t>-lingual groove in the floor of the mouth. These buds attain a common sheath and appear as one gland having several openings in the floor of the mouth.</w:t>
      </w:r>
    </w:p>
    <w:p w:rsidR="004C08E0" w:rsidRPr="00E47F31" w:rsidRDefault="004C08E0" w:rsidP="004C08E0">
      <w:pPr>
        <w:bidi w:val="0"/>
        <w:spacing w:before="200" w:after="0" w:line="240" w:lineRule="auto"/>
        <w:rPr>
          <w:rFonts w:asciiTheme="majorBidi" w:eastAsia="Times New Roman" w:hAnsiTheme="majorBidi" w:cstheme="majorBidi"/>
          <w:sz w:val="28"/>
          <w:szCs w:val="28"/>
          <w:rtl/>
          <w:lang w:bidi="ar-IQ"/>
        </w:rPr>
      </w:pPr>
    </w:p>
    <w:p w:rsidR="004C08E0" w:rsidRPr="00E47F31" w:rsidRDefault="004C08E0" w:rsidP="004C08E0">
      <w:pPr>
        <w:rPr>
          <w:rFonts w:asciiTheme="majorBidi" w:hAnsiTheme="majorBidi" w:cstheme="majorBidi"/>
          <w:sz w:val="28"/>
          <w:szCs w:val="28"/>
          <w:rtl/>
          <w:lang w:bidi="ar-IQ"/>
        </w:rPr>
      </w:pPr>
      <w:r w:rsidRPr="00E47F31">
        <w:rPr>
          <w:rFonts w:asciiTheme="majorBidi" w:hAnsiTheme="majorBidi" w:cstheme="majorBidi"/>
          <w:noProof/>
          <w:sz w:val="28"/>
          <w:szCs w:val="28"/>
        </w:rPr>
        <w:drawing>
          <wp:inline distT="0" distB="0" distL="0" distR="0" wp14:anchorId="13608831" wp14:editId="79557E83">
            <wp:extent cx="4898940" cy="2001328"/>
            <wp:effectExtent l="0" t="0" r="0" b="0"/>
            <wp:docPr id="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6"/>
                    <a:srcRect l="50737" t="19485" r="13928" b="22990"/>
                    <a:stretch/>
                  </pic:blipFill>
                  <pic:spPr bwMode="auto">
                    <a:xfrm>
                      <a:off x="0" y="0"/>
                      <a:ext cx="4929018" cy="2013616"/>
                    </a:xfrm>
                    <a:prstGeom prst="rect">
                      <a:avLst/>
                    </a:prstGeom>
                    <a:ln>
                      <a:noFill/>
                    </a:ln>
                    <a:extLst>
                      <a:ext uri="{53640926-AAD7-44D8-BBD7-CCE9431645EC}">
                        <a14:shadowObscured xmlns:a14="http://schemas.microsoft.com/office/drawing/2010/main"/>
                      </a:ext>
                    </a:extLst>
                  </pic:spPr>
                </pic:pic>
              </a:graphicData>
            </a:graphic>
          </wp:inline>
        </w:drawing>
      </w:r>
    </w:p>
    <w:p w:rsidR="004C08E0" w:rsidRPr="00E47F31" w:rsidRDefault="004C08E0" w:rsidP="004C08E0">
      <w:pPr>
        <w:rPr>
          <w:rFonts w:asciiTheme="majorBidi" w:hAnsiTheme="majorBidi" w:cstheme="majorBidi"/>
          <w:noProof/>
          <w:sz w:val="28"/>
          <w:szCs w:val="28"/>
          <w:rtl/>
          <w:lang w:bidi="ar-IQ"/>
        </w:rPr>
      </w:pPr>
    </w:p>
    <w:p w:rsidR="004C08E0" w:rsidRPr="00E47F31" w:rsidRDefault="004C08E0" w:rsidP="004C08E0">
      <w:pPr>
        <w:rPr>
          <w:rFonts w:asciiTheme="majorBidi" w:hAnsiTheme="majorBidi" w:cstheme="majorBidi"/>
          <w:sz w:val="28"/>
          <w:szCs w:val="28"/>
          <w:rtl/>
          <w:lang w:bidi="ar-IQ"/>
        </w:rPr>
      </w:pPr>
      <w:r w:rsidRPr="00E47F31">
        <w:rPr>
          <w:rFonts w:asciiTheme="majorBidi" w:hAnsiTheme="majorBidi" w:cstheme="majorBidi"/>
          <w:noProof/>
          <w:sz w:val="28"/>
          <w:szCs w:val="28"/>
        </w:rPr>
        <w:lastRenderedPageBreak/>
        <w:drawing>
          <wp:inline distT="0" distB="0" distL="0" distR="0" wp14:anchorId="5FE36910" wp14:editId="32428638">
            <wp:extent cx="3942080" cy="1983677"/>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7"/>
                    <a:srcRect l="39730" t="38544" r="27161" b="22698"/>
                    <a:stretch/>
                  </pic:blipFill>
                  <pic:spPr bwMode="auto">
                    <a:xfrm>
                      <a:off x="0" y="0"/>
                      <a:ext cx="3986594" cy="2006076"/>
                    </a:xfrm>
                    <a:prstGeom prst="rect">
                      <a:avLst/>
                    </a:prstGeom>
                    <a:ln>
                      <a:noFill/>
                    </a:ln>
                    <a:extLst>
                      <a:ext uri="{53640926-AAD7-44D8-BBD7-CCE9431645EC}">
                        <a14:shadowObscured xmlns:a14="http://schemas.microsoft.com/office/drawing/2010/main"/>
                      </a:ext>
                    </a:extLst>
                  </pic:spPr>
                </pic:pic>
              </a:graphicData>
            </a:graphic>
          </wp:inline>
        </w:drawing>
      </w:r>
    </w:p>
    <w:p w:rsidR="004C08E0" w:rsidRPr="00E47F31" w:rsidRDefault="004C08E0" w:rsidP="004C08E0">
      <w:pPr>
        <w:jc w:val="right"/>
        <w:rPr>
          <w:rFonts w:asciiTheme="majorBidi" w:hAnsiTheme="majorBidi" w:cstheme="majorBidi"/>
          <w:sz w:val="28"/>
          <w:szCs w:val="28"/>
          <w:rtl/>
          <w:lang w:bidi="ar-IQ"/>
        </w:rPr>
      </w:pPr>
      <w:r w:rsidRPr="00E47F31">
        <w:rPr>
          <w:rFonts w:asciiTheme="majorBidi" w:eastAsiaTheme="majorEastAsia" w:hAnsiTheme="majorBidi" w:cstheme="majorBidi"/>
          <w:b/>
          <w:bCs/>
          <w:kern w:val="24"/>
          <w:sz w:val="28"/>
          <w:szCs w:val="28"/>
        </w:rPr>
        <w:t>Minor Salivary Glands</w:t>
      </w:r>
    </w:p>
    <w:p w:rsidR="004C08E0" w:rsidRPr="00E47F31" w:rsidRDefault="004C08E0" w:rsidP="004C08E0">
      <w:pPr>
        <w:spacing w:before="200" w:after="0" w:line="240" w:lineRule="auto"/>
        <w:jc w:val="right"/>
        <w:rPr>
          <w:rFonts w:asciiTheme="majorBidi" w:eastAsia="Times New Roman" w:hAnsiTheme="majorBidi" w:cstheme="majorBidi"/>
          <w:sz w:val="28"/>
          <w:szCs w:val="28"/>
          <w:lang w:bidi="ar-IQ"/>
        </w:rPr>
      </w:pPr>
      <w:r w:rsidRPr="00E47F31">
        <w:rPr>
          <w:rFonts w:asciiTheme="majorBidi" w:eastAsiaTheme="minorEastAsia" w:hAnsiTheme="majorBidi" w:cstheme="majorBidi"/>
          <w:kern w:val="24"/>
          <w:sz w:val="28"/>
          <w:szCs w:val="28"/>
          <w:lang w:bidi="ar-IQ"/>
        </w:rPr>
        <w:t xml:space="preserve">They are small submucosal glands that are distributed throughout the wall of the oral cavity except gingivae. </w:t>
      </w:r>
    </w:p>
    <w:p w:rsidR="004C08E0" w:rsidRPr="00E47F31" w:rsidRDefault="004C08E0" w:rsidP="004C08E0">
      <w:pPr>
        <w:spacing w:before="200" w:after="0" w:line="240" w:lineRule="auto"/>
        <w:jc w:val="right"/>
        <w:rPr>
          <w:rFonts w:asciiTheme="majorBidi" w:eastAsia="Times New Roman" w:hAnsiTheme="majorBidi" w:cstheme="majorBidi"/>
          <w:sz w:val="28"/>
          <w:szCs w:val="28"/>
          <w:rtl/>
          <w:lang w:bidi="ar-IQ"/>
        </w:rPr>
      </w:pPr>
      <w:r w:rsidRPr="00E47F31">
        <w:rPr>
          <w:rFonts w:asciiTheme="majorBidi" w:eastAsiaTheme="minorEastAsia" w:hAnsiTheme="majorBidi" w:cstheme="majorBidi"/>
          <w:kern w:val="24"/>
          <w:sz w:val="28"/>
          <w:szCs w:val="28"/>
          <w:lang w:bidi="ar-IQ"/>
        </w:rPr>
        <w:t>They develop in a similar fashion as the major salivary glands, except that they do not undergo branching at all or undergo very little branching. They open independently on the surface of oral mucosa.</w:t>
      </w:r>
    </w:p>
    <w:p w:rsidR="005609FD" w:rsidRDefault="005609FD">
      <w:pPr>
        <w:rPr>
          <w:lang w:bidi="ar-IQ"/>
        </w:rPr>
      </w:pPr>
    </w:p>
    <w:sectPr w:rsidR="005609FD" w:rsidSect="00181E1E">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716"/>
    <w:rsid w:val="00181E1E"/>
    <w:rsid w:val="00232716"/>
    <w:rsid w:val="004C08E0"/>
    <w:rsid w:val="005609FD"/>
    <w:rsid w:val="00BE1F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6A12C"/>
  <w15:chartTrackingRefBased/>
  <w15:docId w15:val="{F1F7BF14-E8F0-41E4-9582-8C58E9423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8E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81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2070</Characters>
  <Application>Microsoft Office Word</Application>
  <DocSecurity>0</DocSecurity>
  <Lines>17</Lines>
  <Paragraphs>4</Paragraphs>
  <ScaleCrop>false</ScaleCrop>
  <Company>SACC</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4</cp:revision>
  <dcterms:created xsi:type="dcterms:W3CDTF">2023-09-03T11:38:00Z</dcterms:created>
  <dcterms:modified xsi:type="dcterms:W3CDTF">2023-09-03T11:58:00Z</dcterms:modified>
</cp:coreProperties>
</file>