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E4D" w:rsidRDefault="00D71E4D" w:rsidP="00B34BE6">
      <w:pPr>
        <w:autoSpaceDE w:val="0"/>
        <w:autoSpaceDN w:val="0"/>
        <w:bidi w:val="0"/>
        <w:adjustRightInd w:val="0"/>
        <w:spacing w:after="0" w:line="240" w:lineRule="auto"/>
        <w:jc w:val="both"/>
        <w:rPr>
          <w:rFonts w:asciiTheme="majorBidi" w:hAnsiTheme="majorBidi" w:cstheme="majorBidi"/>
          <w:color w:val="FF0000"/>
          <w:sz w:val="48"/>
          <w:szCs w:val="48"/>
        </w:rPr>
      </w:pPr>
    </w:p>
    <w:p w:rsidR="00D71E4D" w:rsidRDefault="00D71E4D" w:rsidP="00D71E4D">
      <w:pPr>
        <w:autoSpaceDE w:val="0"/>
        <w:autoSpaceDN w:val="0"/>
        <w:bidi w:val="0"/>
        <w:adjustRightInd w:val="0"/>
        <w:spacing w:after="0" w:line="240" w:lineRule="auto"/>
        <w:jc w:val="both"/>
        <w:rPr>
          <w:rFonts w:asciiTheme="majorBidi" w:hAnsiTheme="majorBidi" w:cstheme="majorBidi"/>
          <w:b/>
          <w:bCs/>
          <w:color w:val="004D26"/>
          <w:sz w:val="28"/>
          <w:szCs w:val="28"/>
        </w:rPr>
      </w:pPr>
      <w:r>
        <w:rPr>
          <w:rFonts w:asciiTheme="majorBidi" w:hAnsiTheme="majorBidi" w:cstheme="majorBidi"/>
          <w:b/>
          <w:bCs/>
          <w:color w:val="004D26"/>
          <w:sz w:val="28"/>
          <w:szCs w:val="28"/>
        </w:rPr>
        <w:t>Lec.7</w:t>
      </w:r>
      <w:bookmarkStart w:id="0" w:name="_GoBack"/>
      <w:bookmarkEnd w:id="0"/>
    </w:p>
    <w:p w:rsidR="00D71E4D" w:rsidRDefault="00D71E4D" w:rsidP="00D71E4D">
      <w:pPr>
        <w:autoSpaceDE w:val="0"/>
        <w:autoSpaceDN w:val="0"/>
        <w:bidi w:val="0"/>
        <w:adjustRightInd w:val="0"/>
        <w:spacing w:after="0" w:line="240" w:lineRule="auto"/>
        <w:jc w:val="both"/>
        <w:rPr>
          <w:rFonts w:asciiTheme="majorBidi" w:hAnsiTheme="majorBidi" w:cstheme="majorBidi"/>
          <w:b/>
          <w:bCs/>
          <w:color w:val="004D26"/>
          <w:sz w:val="28"/>
          <w:szCs w:val="28"/>
        </w:rPr>
      </w:pPr>
    </w:p>
    <w:p w:rsidR="00D71E4D" w:rsidRDefault="00D71E4D" w:rsidP="00D71E4D">
      <w:pPr>
        <w:autoSpaceDE w:val="0"/>
        <w:autoSpaceDN w:val="0"/>
        <w:bidi w:val="0"/>
        <w:adjustRightInd w:val="0"/>
        <w:spacing w:after="0" w:line="240" w:lineRule="auto"/>
        <w:jc w:val="both"/>
        <w:rPr>
          <w:rFonts w:asciiTheme="majorBidi" w:hAnsiTheme="majorBidi" w:cstheme="majorBidi"/>
          <w:b/>
          <w:bCs/>
          <w:color w:val="004D26"/>
          <w:sz w:val="28"/>
          <w:szCs w:val="28"/>
        </w:rPr>
      </w:pPr>
      <w:r>
        <w:rPr>
          <w:rFonts w:asciiTheme="majorBidi" w:hAnsiTheme="majorBidi" w:cstheme="majorBidi"/>
          <w:b/>
          <w:bCs/>
          <w:color w:val="004D26"/>
          <w:sz w:val="28"/>
          <w:szCs w:val="28"/>
        </w:rPr>
        <w:t xml:space="preserve">Embryology </w:t>
      </w:r>
    </w:p>
    <w:p w:rsidR="00D71E4D" w:rsidRDefault="00D71E4D" w:rsidP="00D71E4D">
      <w:pPr>
        <w:autoSpaceDE w:val="0"/>
        <w:autoSpaceDN w:val="0"/>
        <w:bidi w:val="0"/>
        <w:adjustRightInd w:val="0"/>
        <w:spacing w:after="0" w:line="240" w:lineRule="auto"/>
        <w:jc w:val="both"/>
        <w:rPr>
          <w:rFonts w:asciiTheme="majorBidi" w:hAnsiTheme="majorBidi" w:cstheme="majorBidi"/>
          <w:b/>
          <w:bCs/>
          <w:color w:val="004D26"/>
          <w:sz w:val="28"/>
          <w:szCs w:val="28"/>
        </w:rPr>
      </w:pPr>
    </w:p>
    <w:p w:rsidR="00D71E4D" w:rsidRDefault="00D71E4D" w:rsidP="00D71E4D">
      <w:pPr>
        <w:autoSpaceDE w:val="0"/>
        <w:autoSpaceDN w:val="0"/>
        <w:bidi w:val="0"/>
        <w:adjustRightInd w:val="0"/>
        <w:spacing w:after="0" w:line="240" w:lineRule="auto"/>
        <w:rPr>
          <w:rFonts w:asciiTheme="majorBidi" w:hAnsiTheme="majorBidi" w:cstheme="majorBidi"/>
          <w:b/>
          <w:bCs/>
          <w:color w:val="004D26"/>
          <w:sz w:val="28"/>
          <w:szCs w:val="28"/>
        </w:rPr>
      </w:pPr>
      <w:r>
        <w:rPr>
          <w:rFonts w:asciiTheme="majorBidi" w:hAnsiTheme="majorBidi" w:cstheme="majorBidi"/>
          <w:b/>
          <w:bCs/>
          <w:color w:val="004D26"/>
          <w:sz w:val="28"/>
          <w:szCs w:val="28"/>
        </w:rPr>
        <w:t>DR. HULAL SALEH SAHIB</w:t>
      </w:r>
    </w:p>
    <w:p w:rsidR="00D71E4D" w:rsidRDefault="00B34BE6" w:rsidP="00D71E4D">
      <w:pPr>
        <w:autoSpaceDE w:val="0"/>
        <w:autoSpaceDN w:val="0"/>
        <w:bidi w:val="0"/>
        <w:adjustRightInd w:val="0"/>
        <w:spacing w:after="0" w:line="240" w:lineRule="auto"/>
        <w:jc w:val="both"/>
        <w:rPr>
          <w:rFonts w:asciiTheme="majorBidi" w:hAnsiTheme="majorBidi" w:cstheme="majorBidi"/>
          <w:color w:val="FF0000"/>
          <w:sz w:val="48"/>
          <w:szCs w:val="48"/>
        </w:rPr>
      </w:pPr>
      <w:r w:rsidRPr="00E02150">
        <w:rPr>
          <w:rFonts w:asciiTheme="majorBidi" w:hAnsiTheme="majorBidi" w:cstheme="majorBidi"/>
          <w:color w:val="FF0000"/>
          <w:sz w:val="48"/>
          <w:szCs w:val="48"/>
        </w:rPr>
        <w:t xml:space="preserve">       </w:t>
      </w:r>
    </w:p>
    <w:p w:rsidR="00B34BE6" w:rsidRPr="00E02150" w:rsidRDefault="00B34BE6" w:rsidP="00D71E4D">
      <w:pPr>
        <w:autoSpaceDE w:val="0"/>
        <w:autoSpaceDN w:val="0"/>
        <w:bidi w:val="0"/>
        <w:adjustRightInd w:val="0"/>
        <w:spacing w:after="0" w:line="240" w:lineRule="auto"/>
        <w:jc w:val="both"/>
        <w:rPr>
          <w:rFonts w:asciiTheme="majorBidi" w:hAnsiTheme="majorBidi" w:cstheme="majorBidi"/>
          <w:color w:val="FF0000"/>
          <w:sz w:val="48"/>
          <w:szCs w:val="48"/>
        </w:rPr>
      </w:pPr>
      <w:r w:rsidRPr="00E02150">
        <w:rPr>
          <w:rFonts w:asciiTheme="majorBidi" w:hAnsiTheme="majorBidi" w:cstheme="majorBidi"/>
          <w:color w:val="FF0000"/>
          <w:sz w:val="48"/>
          <w:szCs w:val="48"/>
        </w:rPr>
        <w:t xml:space="preserve">  Head and Neck</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FF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 xml:space="preserve">Mesenchyme for formation of the head region is derived from </w:t>
      </w:r>
      <w:r w:rsidRPr="00E02150">
        <w:rPr>
          <w:rFonts w:asciiTheme="majorBidi" w:hAnsiTheme="majorBidi" w:cstheme="majorBidi"/>
          <w:b/>
          <w:bCs/>
          <w:color w:val="000000"/>
          <w:sz w:val="28"/>
          <w:szCs w:val="28"/>
        </w:rPr>
        <w:t xml:space="preserve">paraxial </w:t>
      </w:r>
      <w:r w:rsidRPr="00E02150">
        <w:rPr>
          <w:rFonts w:asciiTheme="majorBidi" w:hAnsiTheme="majorBidi" w:cstheme="majorBidi"/>
          <w:color w:val="000000"/>
          <w:sz w:val="28"/>
          <w:szCs w:val="28"/>
        </w:rPr>
        <w:t xml:space="preserve">and </w:t>
      </w:r>
      <w:r w:rsidRPr="00E02150">
        <w:rPr>
          <w:rFonts w:asciiTheme="majorBidi" w:hAnsiTheme="majorBidi" w:cstheme="majorBidi"/>
          <w:b/>
          <w:bCs/>
          <w:color w:val="000000"/>
          <w:sz w:val="28"/>
          <w:szCs w:val="28"/>
        </w:rPr>
        <w:t>lateral</w:t>
      </w:r>
      <w:r w:rsidRPr="00E02150">
        <w:rPr>
          <w:rFonts w:asciiTheme="majorBidi" w:hAnsiTheme="majorBidi" w:cstheme="majorBidi"/>
          <w:color w:val="000000"/>
          <w:sz w:val="28"/>
          <w:szCs w:val="28"/>
        </w:rPr>
        <w:t xml:space="preserve"> </w:t>
      </w:r>
      <w:r w:rsidRPr="00E02150">
        <w:rPr>
          <w:rFonts w:asciiTheme="majorBidi" w:hAnsiTheme="majorBidi" w:cstheme="majorBidi"/>
          <w:b/>
          <w:bCs/>
          <w:color w:val="000000"/>
          <w:sz w:val="28"/>
          <w:szCs w:val="28"/>
        </w:rPr>
        <w:t>plate mesoderm, neural crest</w:t>
      </w:r>
      <w:r w:rsidRPr="00E02150">
        <w:rPr>
          <w:rFonts w:asciiTheme="majorBidi" w:hAnsiTheme="majorBidi" w:cstheme="majorBidi"/>
          <w:color w:val="000000"/>
          <w:sz w:val="28"/>
          <w:szCs w:val="28"/>
        </w:rPr>
        <w:t xml:space="preserve">, and thickened regions of ectoderm known as </w:t>
      </w:r>
      <w:r w:rsidRPr="00E02150">
        <w:rPr>
          <w:rFonts w:asciiTheme="majorBidi" w:hAnsiTheme="majorBidi" w:cstheme="majorBidi"/>
          <w:b/>
          <w:bCs/>
          <w:color w:val="000000"/>
          <w:sz w:val="28"/>
          <w:szCs w:val="28"/>
        </w:rPr>
        <w:t>ectodermal placodes</w:t>
      </w:r>
      <w:r w:rsidRPr="00E02150">
        <w:rPr>
          <w:rFonts w:asciiTheme="majorBidi" w:hAnsiTheme="majorBidi" w:cstheme="majorBidi"/>
          <w:color w:val="000000"/>
          <w:sz w:val="28"/>
          <w:szCs w:val="28"/>
        </w:rPr>
        <w:t>.</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 xml:space="preserve"> Paraxial mesoderm (</w:t>
      </w:r>
      <w:r w:rsidRPr="00E02150">
        <w:rPr>
          <w:rFonts w:asciiTheme="majorBidi" w:hAnsiTheme="majorBidi" w:cstheme="majorBidi"/>
          <w:b/>
          <w:bCs/>
          <w:color w:val="000000"/>
          <w:sz w:val="28"/>
          <w:szCs w:val="28"/>
        </w:rPr>
        <w:t>somites</w:t>
      </w:r>
      <w:r w:rsidRPr="00E02150">
        <w:rPr>
          <w:rFonts w:asciiTheme="majorBidi" w:hAnsiTheme="majorBidi" w:cstheme="majorBidi"/>
          <w:color w:val="000000"/>
          <w:sz w:val="28"/>
          <w:szCs w:val="28"/>
        </w:rPr>
        <w:t xml:space="preserve">) forms a large portion of the neurocranium (skull), all voluntary muscles of the craniofacial region, the dermis and connective tissues in the dorsal region of the head, and the meninges caudal to the prosencephalon. </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Lateral plate mesoderm forms the laryngeal cartilages (arytenoid and cricoid) and connective tissue in this region.</w:t>
      </w:r>
    </w:p>
    <w:p w:rsidR="00B34BE6" w:rsidRPr="00E02150" w:rsidRDefault="00B34BE6" w:rsidP="00B34BE6">
      <w:pPr>
        <w:autoSpaceDE w:val="0"/>
        <w:autoSpaceDN w:val="0"/>
        <w:bidi w:val="0"/>
        <w:adjustRightInd w:val="0"/>
        <w:spacing w:after="0" w:line="240" w:lineRule="auto"/>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Neural crest cells originate in the neuroectoderm of forebrain, midbrain, and hindbrain regions and migrate ventrally into the pharyngeal arches. They also form all other tissues in these regions, including cartilage, bone, dentin, tendon, dermis, pia and arachnoid, sensory neurons, and glandular connective tissue.</w:t>
      </w:r>
      <w:r w:rsidRPr="00E02150">
        <w:rPr>
          <w:rFonts w:asciiTheme="majorBidi" w:hAnsiTheme="majorBidi" w:cstheme="majorBidi"/>
          <w:sz w:val="28"/>
          <w:szCs w:val="28"/>
        </w:rPr>
        <w:t xml:space="preserve"> </w:t>
      </w:r>
    </w:p>
    <w:p w:rsidR="00B34BE6" w:rsidRPr="00E02150" w:rsidRDefault="00B34BE6" w:rsidP="00B34BE6">
      <w:pPr>
        <w:autoSpaceDE w:val="0"/>
        <w:autoSpaceDN w:val="0"/>
        <w:bidi w:val="0"/>
        <w:adjustRightInd w:val="0"/>
        <w:spacing w:after="0" w:line="240" w:lineRule="auto"/>
        <w:rPr>
          <w:rFonts w:asciiTheme="majorBidi" w:hAnsiTheme="majorBidi" w:cstheme="majorBidi"/>
          <w:color w:val="000000"/>
          <w:sz w:val="28"/>
          <w:szCs w:val="28"/>
        </w:rPr>
      </w:pPr>
      <w:r w:rsidRPr="00E02150">
        <w:rPr>
          <w:noProof/>
          <w:sz w:val="28"/>
          <w:szCs w:val="28"/>
        </w:rPr>
        <w:drawing>
          <wp:inline distT="0" distB="0" distL="0" distR="0" wp14:anchorId="5FD4B971" wp14:editId="7EDB0F1F">
            <wp:extent cx="4754269" cy="226771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0729" t="33942" r="22010" b="15685"/>
                    <a:stretch/>
                  </pic:blipFill>
                  <pic:spPr bwMode="auto">
                    <a:xfrm>
                      <a:off x="0" y="0"/>
                      <a:ext cx="4776686" cy="2278405"/>
                    </a:xfrm>
                    <a:prstGeom prst="rect">
                      <a:avLst/>
                    </a:prstGeom>
                    <a:ln>
                      <a:noFill/>
                    </a:ln>
                    <a:extLst>
                      <a:ext uri="{53640926-AAD7-44D8-BBD7-CCE9431645EC}">
                        <a14:shadowObscured xmlns:a14="http://schemas.microsoft.com/office/drawing/2010/main"/>
                      </a:ext>
                    </a:extLst>
                  </pic:spPr>
                </pic:pic>
              </a:graphicData>
            </a:graphic>
          </wp:inline>
        </w:drawing>
      </w:r>
    </w:p>
    <w:p w:rsidR="00B34BE6" w:rsidRPr="00E02150" w:rsidRDefault="00B34BE6" w:rsidP="00B34BE6">
      <w:pPr>
        <w:autoSpaceDE w:val="0"/>
        <w:autoSpaceDN w:val="0"/>
        <w:bidi w:val="0"/>
        <w:adjustRightInd w:val="0"/>
        <w:spacing w:after="0" w:line="240" w:lineRule="auto"/>
        <w:rPr>
          <w:rFonts w:asciiTheme="majorBidi" w:hAnsiTheme="majorBidi" w:cstheme="majorBidi"/>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sz w:val="28"/>
          <w:szCs w:val="28"/>
        </w:rPr>
        <w:t xml:space="preserve">Cells from </w:t>
      </w:r>
      <w:r w:rsidRPr="00E02150">
        <w:rPr>
          <w:rFonts w:asciiTheme="majorBidi" w:hAnsiTheme="majorBidi" w:cstheme="majorBidi"/>
          <w:b/>
          <w:bCs/>
          <w:sz w:val="28"/>
          <w:szCs w:val="28"/>
        </w:rPr>
        <w:t>ectodermal placodes</w:t>
      </w:r>
      <w:r w:rsidRPr="00E02150">
        <w:rPr>
          <w:rFonts w:asciiTheme="majorBidi" w:hAnsiTheme="majorBidi" w:cstheme="majorBidi"/>
          <w:sz w:val="28"/>
          <w:szCs w:val="28"/>
        </w:rPr>
        <w:t>, together with neural crest, form neurons of the fifth, seventh, ninth, and tenth cranial sensory ganglia.</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FF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lastRenderedPageBreak/>
        <w:t xml:space="preserve">Head and neck development include bony skeleton of the head and neck (skull and vertebrae), and the development of other components (the pharyngeal apparatus).   </w:t>
      </w:r>
    </w:p>
    <w:p w:rsidR="00B34BE6" w:rsidRPr="00E02150" w:rsidRDefault="00B34BE6" w:rsidP="00B34BE6">
      <w:pPr>
        <w:bidi w:val="0"/>
        <w:spacing w:after="0" w:line="240" w:lineRule="auto"/>
        <w:jc w:val="both"/>
        <w:rPr>
          <w:rFonts w:asciiTheme="majorBidi" w:eastAsia="Times New Roman" w:hAnsiTheme="majorBidi" w:cstheme="majorBidi"/>
          <w:sz w:val="28"/>
          <w:szCs w:val="28"/>
        </w:rPr>
      </w:pPr>
    </w:p>
    <w:p w:rsidR="00B34BE6" w:rsidRPr="00E02150" w:rsidRDefault="00B34BE6" w:rsidP="00B34BE6">
      <w:pPr>
        <w:bidi w:val="0"/>
        <w:spacing w:after="0" w:line="240" w:lineRule="auto"/>
        <w:ind w:right="-99"/>
        <w:jc w:val="both"/>
        <w:rPr>
          <w:rFonts w:asciiTheme="majorBidi" w:eastAsia="Times New Roman" w:hAnsiTheme="majorBidi" w:cstheme="majorBidi"/>
          <w:sz w:val="28"/>
          <w:szCs w:val="28"/>
        </w:rPr>
      </w:pPr>
      <w:r w:rsidRPr="00E02150">
        <w:rPr>
          <w:rFonts w:asciiTheme="majorBidi" w:eastAsia="Times New Roman" w:hAnsiTheme="majorBidi" w:cstheme="majorBidi"/>
          <w:sz w:val="28"/>
          <w:szCs w:val="28"/>
        </w:rPr>
        <w:t xml:space="preserve">The </w:t>
      </w:r>
      <w:r w:rsidRPr="00E02150">
        <w:rPr>
          <w:rFonts w:asciiTheme="majorBidi" w:eastAsia="Times New Roman" w:hAnsiTheme="majorBidi" w:cstheme="majorBidi"/>
          <w:b/>
          <w:bCs/>
          <w:sz w:val="28"/>
          <w:szCs w:val="28"/>
          <w:highlight w:val="yellow"/>
        </w:rPr>
        <w:t>pharyngeal apparatus</w:t>
      </w:r>
      <w:r w:rsidRPr="00E02150">
        <w:rPr>
          <w:rFonts w:asciiTheme="majorBidi" w:eastAsia="Times New Roman" w:hAnsiTheme="majorBidi" w:cstheme="majorBidi"/>
          <w:sz w:val="28"/>
          <w:szCs w:val="28"/>
        </w:rPr>
        <w:t xml:space="preserve"> consists of pharyngeal arches, pharyngeal pouches, and pharyngeal clefts (grooves). </w:t>
      </w:r>
    </w:p>
    <w:p w:rsidR="00B34BE6" w:rsidRPr="00E02150" w:rsidRDefault="00B34BE6" w:rsidP="00B34BE6">
      <w:pPr>
        <w:bidi w:val="0"/>
        <w:spacing w:after="0" w:line="240" w:lineRule="auto"/>
        <w:ind w:right="-99"/>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After the embryo fold and after formation of the head fold, the buccopharyngeal membrane is buried at the bottom of stomodeum (which is an ectodermal depression representing the primitive mouth and located between the forebrain cranially and the primitive heart caudally.</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eastAsia="Times New Roman" w:hAnsiTheme="majorBidi" w:cstheme="majorBidi"/>
          <w:sz w:val="28"/>
          <w:szCs w:val="28"/>
          <w:u w:val="single"/>
        </w:rPr>
      </w:pPr>
      <w:r w:rsidRPr="00E02150">
        <w:rPr>
          <w:rFonts w:asciiTheme="majorBidi" w:hAnsiTheme="majorBidi" w:cstheme="majorBidi"/>
          <w:color w:val="000000"/>
          <w:sz w:val="28"/>
          <w:szCs w:val="28"/>
        </w:rPr>
        <w:t xml:space="preserve">In the region between the stomodeum and the primitive heart, </w:t>
      </w:r>
      <w:r w:rsidRPr="00E02150">
        <w:rPr>
          <w:rFonts w:asciiTheme="majorBidi" w:eastAsia="Times New Roman" w:hAnsiTheme="majorBidi" w:cstheme="majorBidi"/>
          <w:sz w:val="28"/>
          <w:szCs w:val="28"/>
        </w:rPr>
        <w:t xml:space="preserve">in the fourth week of intrauterine development, a series of surface elevations appear in the lateral wall of primitive pharynx. These are termed </w:t>
      </w:r>
      <w:r w:rsidRPr="00E02150">
        <w:rPr>
          <w:rFonts w:asciiTheme="majorBidi" w:eastAsia="Times New Roman" w:hAnsiTheme="majorBidi" w:cstheme="majorBidi"/>
          <w:sz w:val="28"/>
          <w:szCs w:val="28"/>
          <w:u w:val="single"/>
        </w:rPr>
        <w:t xml:space="preserve">pharyngeal arches. </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bidi w:val="0"/>
        <w:spacing w:after="0" w:line="240" w:lineRule="auto"/>
        <w:rPr>
          <w:rFonts w:asciiTheme="majorBidi" w:eastAsia="Times New Roman" w:hAnsiTheme="majorBidi" w:cstheme="majorBidi"/>
          <w:sz w:val="28"/>
          <w:szCs w:val="28"/>
          <w:u w:val="single"/>
        </w:rPr>
      </w:pPr>
      <w:r w:rsidRPr="00E02150">
        <w:rPr>
          <w:rFonts w:asciiTheme="majorBidi" w:hAnsiTheme="majorBidi" w:cstheme="majorBidi"/>
          <w:noProof/>
          <w:sz w:val="28"/>
          <w:szCs w:val="28"/>
        </w:rPr>
        <w:drawing>
          <wp:inline distT="0" distB="0" distL="0" distR="0" wp14:anchorId="34E007C2" wp14:editId="11965BBF">
            <wp:extent cx="4048125" cy="2981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137" t="23767" r="15914" b="39903"/>
                    <a:stretch/>
                  </pic:blipFill>
                  <pic:spPr bwMode="auto">
                    <a:xfrm>
                      <a:off x="0" y="0"/>
                      <a:ext cx="4050466" cy="2983049"/>
                    </a:xfrm>
                    <a:prstGeom prst="rect">
                      <a:avLst/>
                    </a:prstGeom>
                    <a:ln>
                      <a:noFill/>
                    </a:ln>
                    <a:extLst>
                      <a:ext uri="{53640926-AAD7-44D8-BBD7-CCE9431645EC}">
                        <a14:shadowObscured xmlns:a14="http://schemas.microsoft.com/office/drawing/2010/main"/>
                      </a:ext>
                    </a:extLst>
                  </pic:spPr>
                </pic:pic>
              </a:graphicData>
            </a:graphic>
          </wp:inline>
        </w:drawing>
      </w:r>
    </w:p>
    <w:p w:rsidR="00B34BE6" w:rsidRPr="00E02150" w:rsidRDefault="00B34BE6" w:rsidP="00B34BE6">
      <w:pPr>
        <w:bidi w:val="0"/>
        <w:spacing w:after="0" w:line="240" w:lineRule="auto"/>
        <w:rPr>
          <w:rFonts w:asciiTheme="majorBidi" w:eastAsia="Times New Roman" w:hAnsiTheme="majorBidi" w:cstheme="majorBidi"/>
          <w:sz w:val="28"/>
          <w:szCs w:val="28"/>
          <w:u w:val="single"/>
        </w:rPr>
      </w:pPr>
    </w:p>
    <w:p w:rsidR="00B34BE6" w:rsidRPr="00E02150" w:rsidRDefault="00B34BE6" w:rsidP="00B34BE6">
      <w:pPr>
        <w:bidi w:val="0"/>
        <w:spacing w:after="0" w:line="240" w:lineRule="auto"/>
        <w:rPr>
          <w:rFonts w:asciiTheme="majorBidi" w:eastAsia="Times New Roman" w:hAnsiTheme="majorBidi" w:cstheme="majorBidi"/>
          <w:sz w:val="28"/>
          <w:szCs w:val="28"/>
          <w:u w:val="single"/>
        </w:rPr>
      </w:pPr>
      <w:r w:rsidRPr="00E02150">
        <w:rPr>
          <w:rFonts w:asciiTheme="majorBidi" w:hAnsiTheme="majorBidi" w:cstheme="majorBidi"/>
          <w:noProof/>
          <w:sz w:val="28"/>
          <w:szCs w:val="28"/>
        </w:rPr>
        <w:lastRenderedPageBreak/>
        <w:drawing>
          <wp:inline distT="0" distB="0" distL="0" distR="0" wp14:anchorId="504A5FB0" wp14:editId="5045D0B5">
            <wp:extent cx="4686300" cy="3305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819" t="48030" r="16499" b="16290"/>
                    <a:stretch/>
                  </pic:blipFill>
                  <pic:spPr bwMode="auto">
                    <a:xfrm>
                      <a:off x="0" y="0"/>
                      <a:ext cx="4753346" cy="3352462"/>
                    </a:xfrm>
                    <a:prstGeom prst="rect">
                      <a:avLst/>
                    </a:prstGeom>
                    <a:ln>
                      <a:noFill/>
                    </a:ln>
                    <a:extLst>
                      <a:ext uri="{53640926-AAD7-44D8-BBD7-CCE9431645EC}">
                        <a14:shadowObscured xmlns:a14="http://schemas.microsoft.com/office/drawing/2010/main"/>
                      </a:ext>
                    </a:extLst>
                  </pic:spPr>
                </pic:pic>
              </a:graphicData>
            </a:graphic>
          </wp:inline>
        </w:drawing>
      </w:r>
    </w:p>
    <w:p w:rsidR="00B34BE6" w:rsidRPr="00E02150" w:rsidRDefault="00B34BE6" w:rsidP="00B34BE6">
      <w:pPr>
        <w:bidi w:val="0"/>
        <w:spacing w:after="0" w:line="240" w:lineRule="auto"/>
        <w:jc w:val="both"/>
        <w:rPr>
          <w:rFonts w:asciiTheme="majorBidi" w:eastAsia="Times New Roman" w:hAnsiTheme="majorBidi" w:cstheme="majorBidi"/>
          <w:sz w:val="28"/>
          <w:szCs w:val="28"/>
        </w:rPr>
      </w:pPr>
    </w:p>
    <w:p w:rsidR="00B34BE6" w:rsidRPr="00E02150" w:rsidRDefault="00B34BE6" w:rsidP="00B34BE6">
      <w:pPr>
        <w:bidi w:val="0"/>
        <w:spacing w:after="0" w:line="240" w:lineRule="auto"/>
        <w:jc w:val="both"/>
        <w:rPr>
          <w:rFonts w:asciiTheme="majorBidi" w:eastAsia="Times New Roman" w:hAnsiTheme="majorBidi" w:cstheme="majorBidi"/>
          <w:sz w:val="28"/>
          <w:szCs w:val="28"/>
          <w:u w:val="single"/>
        </w:rPr>
      </w:pPr>
      <w:r w:rsidRPr="00E02150">
        <w:rPr>
          <w:rFonts w:asciiTheme="majorBidi" w:eastAsia="Times New Roman" w:hAnsiTheme="majorBidi" w:cstheme="majorBidi"/>
          <w:sz w:val="28"/>
          <w:szCs w:val="28"/>
        </w:rPr>
        <w:t xml:space="preserve">The pouches between them on the inner aspect of the pharyngeal wall are termed </w:t>
      </w:r>
      <w:r w:rsidRPr="00E02150">
        <w:rPr>
          <w:rFonts w:asciiTheme="majorBidi" w:eastAsia="Times New Roman" w:hAnsiTheme="majorBidi" w:cstheme="majorBidi"/>
          <w:sz w:val="28"/>
          <w:szCs w:val="28"/>
          <w:u w:val="single"/>
        </w:rPr>
        <w:t xml:space="preserve">pharyngeal pouches </w:t>
      </w:r>
      <w:r w:rsidRPr="00E02150">
        <w:rPr>
          <w:rFonts w:asciiTheme="majorBidi" w:eastAsia="Times New Roman" w:hAnsiTheme="majorBidi" w:cstheme="majorBidi"/>
          <w:sz w:val="28"/>
          <w:szCs w:val="28"/>
        </w:rPr>
        <w:t xml:space="preserve">and grooves between them on the outer aspect of the pharyngeal wall are called </w:t>
      </w:r>
      <w:r w:rsidRPr="00E02150">
        <w:rPr>
          <w:rFonts w:asciiTheme="majorBidi" w:eastAsia="Times New Roman" w:hAnsiTheme="majorBidi" w:cstheme="majorBidi"/>
          <w:sz w:val="28"/>
          <w:szCs w:val="28"/>
          <w:u w:val="single"/>
        </w:rPr>
        <w:t>pharyngeal clefts.</w:t>
      </w:r>
    </w:p>
    <w:p w:rsidR="00B34BE6" w:rsidRPr="00E02150" w:rsidRDefault="00B34BE6" w:rsidP="00B34BE6">
      <w:pPr>
        <w:bidi w:val="0"/>
        <w:spacing w:after="0" w:line="240" w:lineRule="auto"/>
        <w:jc w:val="both"/>
        <w:rPr>
          <w:rFonts w:asciiTheme="majorBidi" w:eastAsia="Times New Roman" w:hAnsiTheme="majorBidi" w:cstheme="majorBidi"/>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 xml:space="preserve">At the end of the fourth week, the center of the face is formed by the stomodeum, surrounded by the first pair of pharyngeal arches. </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noProof/>
          <w:sz w:val="28"/>
          <w:szCs w:val="28"/>
        </w:rPr>
        <w:drawing>
          <wp:anchor distT="0" distB="0" distL="114300" distR="114300" simplePos="0" relativeHeight="251659264" behindDoc="0" locked="0" layoutInCell="1" allowOverlap="1" wp14:anchorId="21648D91" wp14:editId="2997B70A">
            <wp:simplePos x="0" y="0"/>
            <wp:positionH relativeFrom="column">
              <wp:posOffset>3319145</wp:posOffset>
            </wp:positionH>
            <wp:positionV relativeFrom="paragraph">
              <wp:posOffset>175895</wp:posOffset>
            </wp:positionV>
            <wp:extent cx="2377440" cy="2355215"/>
            <wp:effectExtent l="0" t="0" r="381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988" t="29534" r="37479" b="13974"/>
                    <a:stretch/>
                  </pic:blipFill>
                  <pic:spPr bwMode="auto">
                    <a:xfrm>
                      <a:off x="0" y="0"/>
                      <a:ext cx="2377440" cy="2355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4BE6" w:rsidRPr="00E02150" w:rsidRDefault="00B34BE6" w:rsidP="00B34BE6">
      <w:pPr>
        <w:autoSpaceDE w:val="0"/>
        <w:autoSpaceDN w:val="0"/>
        <w:bidi w:val="0"/>
        <w:adjustRightInd w:val="0"/>
        <w:spacing w:after="0" w:line="240" w:lineRule="auto"/>
        <w:rPr>
          <w:rFonts w:asciiTheme="majorBidi" w:hAnsiTheme="majorBidi" w:cstheme="majorBidi"/>
          <w:color w:val="000000"/>
          <w:sz w:val="28"/>
          <w:szCs w:val="28"/>
        </w:rPr>
      </w:pPr>
      <w:r w:rsidRPr="00E02150">
        <w:rPr>
          <w:rFonts w:asciiTheme="majorBidi" w:hAnsiTheme="majorBidi" w:cstheme="majorBidi"/>
          <w:noProof/>
          <w:sz w:val="28"/>
          <w:szCs w:val="28"/>
        </w:rPr>
        <w:drawing>
          <wp:inline distT="0" distB="0" distL="0" distR="0" wp14:anchorId="3C55B96C" wp14:editId="3FB74651">
            <wp:extent cx="2611120" cy="235549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01" t="35511" r="38203" b="24098"/>
                    <a:stretch/>
                  </pic:blipFill>
                  <pic:spPr bwMode="auto">
                    <a:xfrm>
                      <a:off x="0" y="0"/>
                      <a:ext cx="2656911" cy="2396803"/>
                    </a:xfrm>
                    <a:prstGeom prst="rect">
                      <a:avLst/>
                    </a:prstGeom>
                    <a:ln>
                      <a:noFill/>
                    </a:ln>
                    <a:extLst>
                      <a:ext uri="{53640926-AAD7-44D8-BBD7-CCE9431645EC}">
                        <a14:shadowObscured xmlns:a14="http://schemas.microsoft.com/office/drawing/2010/main"/>
                      </a:ext>
                    </a:extLst>
                  </pic:spPr>
                </pic:pic>
              </a:graphicData>
            </a:graphic>
          </wp:inline>
        </w:drawing>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 xml:space="preserve">When the embryo is 42 days old, five mesenchymal prominences can be recognized: the </w:t>
      </w:r>
      <w:r w:rsidRPr="00E02150">
        <w:rPr>
          <w:rFonts w:asciiTheme="majorBidi" w:hAnsiTheme="majorBidi" w:cstheme="majorBidi"/>
          <w:b/>
          <w:bCs/>
          <w:color w:val="000000"/>
          <w:sz w:val="28"/>
          <w:szCs w:val="28"/>
        </w:rPr>
        <w:t>mandibular prominences</w:t>
      </w:r>
      <w:r w:rsidRPr="00E02150">
        <w:rPr>
          <w:rFonts w:asciiTheme="majorBidi" w:hAnsiTheme="majorBidi" w:cstheme="majorBidi"/>
          <w:color w:val="000000"/>
          <w:sz w:val="28"/>
          <w:szCs w:val="28"/>
        </w:rPr>
        <w:t xml:space="preserve"> caudal to the stomodeum; the </w:t>
      </w:r>
      <w:r w:rsidRPr="00E02150">
        <w:rPr>
          <w:rFonts w:asciiTheme="majorBidi" w:hAnsiTheme="majorBidi" w:cstheme="majorBidi"/>
          <w:b/>
          <w:bCs/>
          <w:color w:val="000000"/>
          <w:sz w:val="28"/>
          <w:szCs w:val="28"/>
        </w:rPr>
        <w:t>maxillary prominences</w:t>
      </w:r>
      <w:r w:rsidRPr="00E02150">
        <w:rPr>
          <w:rFonts w:asciiTheme="majorBidi" w:hAnsiTheme="majorBidi" w:cstheme="majorBidi"/>
          <w:color w:val="000000"/>
          <w:sz w:val="28"/>
          <w:szCs w:val="28"/>
        </w:rPr>
        <w:t xml:space="preserve"> lateral to the stomodeum; and the </w:t>
      </w:r>
      <w:r w:rsidRPr="00E02150">
        <w:rPr>
          <w:rFonts w:asciiTheme="majorBidi" w:hAnsiTheme="majorBidi" w:cstheme="majorBidi"/>
          <w:b/>
          <w:bCs/>
          <w:color w:val="000000"/>
          <w:sz w:val="28"/>
          <w:szCs w:val="28"/>
        </w:rPr>
        <w:t xml:space="preserve">frontonasal prominence, </w:t>
      </w:r>
      <w:r w:rsidRPr="00E02150">
        <w:rPr>
          <w:rFonts w:asciiTheme="majorBidi" w:hAnsiTheme="majorBidi" w:cstheme="majorBidi"/>
          <w:color w:val="000000"/>
          <w:sz w:val="28"/>
          <w:szCs w:val="28"/>
        </w:rPr>
        <w:t xml:space="preserve">cranial to the stomodeum. </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b/>
          <w:bCs/>
          <w:color w:val="000000"/>
          <w:sz w:val="28"/>
          <w:szCs w:val="28"/>
        </w:rPr>
      </w:pPr>
      <w:r w:rsidRPr="00E02150">
        <w:rPr>
          <w:rFonts w:asciiTheme="majorBidi" w:hAnsiTheme="majorBidi" w:cstheme="majorBidi"/>
          <w:color w:val="000000"/>
          <w:sz w:val="28"/>
          <w:szCs w:val="28"/>
        </w:rPr>
        <w:lastRenderedPageBreak/>
        <w:t xml:space="preserve">Each pharyngeal arch is characterized by its own </w:t>
      </w:r>
      <w:r w:rsidRPr="00E02150">
        <w:rPr>
          <w:rFonts w:asciiTheme="majorBidi" w:hAnsiTheme="majorBidi" w:cstheme="majorBidi"/>
          <w:b/>
          <w:bCs/>
          <w:color w:val="000000"/>
          <w:sz w:val="28"/>
          <w:szCs w:val="28"/>
        </w:rPr>
        <w:t>muscular components, nerve</w:t>
      </w:r>
      <w:r w:rsidRPr="00E02150">
        <w:rPr>
          <w:rFonts w:asciiTheme="majorBidi" w:hAnsiTheme="majorBidi" w:cstheme="majorBidi"/>
          <w:color w:val="000000"/>
          <w:sz w:val="28"/>
          <w:szCs w:val="28"/>
        </w:rPr>
        <w:t xml:space="preserve"> </w:t>
      </w:r>
      <w:r w:rsidRPr="00E02150">
        <w:rPr>
          <w:rFonts w:asciiTheme="majorBidi" w:hAnsiTheme="majorBidi" w:cstheme="majorBidi"/>
          <w:b/>
          <w:bCs/>
          <w:color w:val="000000"/>
          <w:sz w:val="28"/>
          <w:szCs w:val="28"/>
        </w:rPr>
        <w:t xml:space="preserve">component </w:t>
      </w:r>
      <w:r w:rsidRPr="00E02150">
        <w:rPr>
          <w:rFonts w:asciiTheme="majorBidi" w:hAnsiTheme="majorBidi" w:cstheme="majorBidi"/>
          <w:b/>
          <w:bCs/>
          <w:color w:val="000000"/>
          <w:sz w:val="28"/>
          <w:szCs w:val="28"/>
          <w:lang w:bidi="ar-IQ"/>
        </w:rPr>
        <w:t xml:space="preserve">and their </w:t>
      </w:r>
      <w:r w:rsidRPr="00E02150">
        <w:rPr>
          <w:rFonts w:asciiTheme="majorBidi" w:hAnsiTheme="majorBidi" w:cstheme="majorBidi"/>
          <w:b/>
          <w:bCs/>
          <w:color w:val="000000"/>
          <w:sz w:val="28"/>
          <w:szCs w:val="28"/>
        </w:rPr>
        <w:t>arterial component.</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b/>
          <w:bCs/>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7030A0"/>
          <w:sz w:val="28"/>
          <w:szCs w:val="28"/>
        </w:rPr>
      </w:pPr>
      <w:r w:rsidRPr="00E02150">
        <w:rPr>
          <w:rFonts w:asciiTheme="majorBidi" w:hAnsiTheme="majorBidi" w:cstheme="majorBidi"/>
          <w:color w:val="7030A0"/>
          <w:sz w:val="28"/>
          <w:szCs w:val="28"/>
        </w:rPr>
        <w:t xml:space="preserve">First pharyngeal arch </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1AB3FF"/>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color w:val="000000"/>
          <w:sz w:val="28"/>
          <w:szCs w:val="28"/>
        </w:rPr>
        <w:t xml:space="preserve">The </w:t>
      </w:r>
      <w:r w:rsidRPr="00E02150">
        <w:rPr>
          <w:rFonts w:asciiTheme="majorBidi" w:hAnsiTheme="majorBidi" w:cstheme="majorBidi"/>
          <w:b/>
          <w:bCs/>
          <w:color w:val="000000"/>
          <w:sz w:val="28"/>
          <w:szCs w:val="28"/>
        </w:rPr>
        <w:t>first pharyngeal arch</w:t>
      </w:r>
      <w:r w:rsidRPr="00E02150">
        <w:rPr>
          <w:rFonts w:asciiTheme="majorBidi" w:hAnsiTheme="majorBidi" w:cstheme="majorBidi"/>
          <w:color w:val="000000"/>
          <w:sz w:val="28"/>
          <w:szCs w:val="28"/>
        </w:rPr>
        <w:t xml:space="preserve">, it has two cartilages; the </w:t>
      </w:r>
      <w:r w:rsidRPr="00E02150">
        <w:rPr>
          <w:rFonts w:asciiTheme="majorBidi" w:hAnsiTheme="majorBidi" w:cstheme="majorBidi"/>
          <w:b/>
          <w:bCs/>
          <w:color w:val="000000"/>
          <w:sz w:val="28"/>
          <w:szCs w:val="28"/>
        </w:rPr>
        <w:t>maxillary process dorsally</w:t>
      </w:r>
      <w:r w:rsidRPr="00E02150">
        <w:rPr>
          <w:rFonts w:asciiTheme="majorBidi" w:hAnsiTheme="majorBidi" w:cstheme="majorBidi"/>
          <w:sz w:val="28"/>
          <w:szCs w:val="28"/>
        </w:rPr>
        <w:t xml:space="preserve"> and a ventral portion, the </w:t>
      </w:r>
      <w:r w:rsidRPr="00E02150">
        <w:rPr>
          <w:rFonts w:asciiTheme="majorBidi" w:hAnsiTheme="majorBidi" w:cstheme="majorBidi"/>
          <w:b/>
          <w:bCs/>
          <w:sz w:val="28"/>
          <w:szCs w:val="28"/>
        </w:rPr>
        <w:t>mandibular process</w:t>
      </w:r>
      <w:r w:rsidRPr="00E02150">
        <w:rPr>
          <w:rFonts w:asciiTheme="majorBidi" w:hAnsiTheme="majorBidi" w:cstheme="majorBidi"/>
          <w:sz w:val="28"/>
          <w:szCs w:val="28"/>
        </w:rPr>
        <w:t xml:space="preserve">, which contains </w:t>
      </w:r>
      <w:r w:rsidRPr="00E02150">
        <w:rPr>
          <w:rFonts w:asciiTheme="majorBidi" w:hAnsiTheme="majorBidi" w:cstheme="majorBidi"/>
          <w:b/>
          <w:bCs/>
          <w:sz w:val="28"/>
          <w:szCs w:val="28"/>
        </w:rPr>
        <w:t>Meckel’s cartilage</w:t>
      </w:r>
      <w:r w:rsidRPr="00E02150">
        <w:rPr>
          <w:rFonts w:asciiTheme="majorBidi" w:hAnsiTheme="majorBidi" w:cstheme="majorBidi"/>
          <w:sz w:val="28"/>
          <w:szCs w:val="28"/>
        </w:rPr>
        <w:t xml:space="preserve">. </w:t>
      </w:r>
      <w:r w:rsidRPr="00E02150">
        <w:rPr>
          <w:rFonts w:asciiTheme="majorBidi" w:hAnsiTheme="majorBidi" w:cstheme="majorBidi"/>
          <w:color w:val="000000"/>
          <w:sz w:val="28"/>
          <w:szCs w:val="28"/>
        </w:rPr>
        <w:t xml:space="preserve">During further development, Meckel’s cartilage disappears leaving the </w:t>
      </w:r>
      <w:r w:rsidRPr="00E02150">
        <w:rPr>
          <w:rFonts w:asciiTheme="majorBidi" w:hAnsiTheme="majorBidi" w:cstheme="majorBidi"/>
          <w:b/>
          <w:bCs/>
          <w:color w:val="000000"/>
          <w:sz w:val="28"/>
          <w:szCs w:val="28"/>
        </w:rPr>
        <w:t xml:space="preserve">incus </w:t>
      </w:r>
      <w:r w:rsidRPr="00E02150">
        <w:rPr>
          <w:rFonts w:asciiTheme="majorBidi" w:hAnsiTheme="majorBidi" w:cstheme="majorBidi"/>
          <w:color w:val="000000"/>
          <w:sz w:val="28"/>
          <w:szCs w:val="28"/>
        </w:rPr>
        <w:t xml:space="preserve">and </w:t>
      </w:r>
      <w:r w:rsidRPr="00E02150">
        <w:rPr>
          <w:rFonts w:asciiTheme="majorBidi" w:hAnsiTheme="majorBidi" w:cstheme="majorBidi"/>
          <w:b/>
          <w:bCs/>
          <w:color w:val="000000"/>
          <w:sz w:val="28"/>
          <w:szCs w:val="28"/>
        </w:rPr>
        <w:t xml:space="preserve">malleus (ear ossicles) </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Mesenchyme of the maxillary process gives rise to the</w:t>
      </w:r>
      <w:r w:rsidRPr="00E02150">
        <w:rPr>
          <w:rFonts w:asciiTheme="majorBidi" w:hAnsiTheme="majorBidi" w:cstheme="majorBidi"/>
          <w:b/>
          <w:bCs/>
          <w:color w:val="000000"/>
          <w:sz w:val="28"/>
          <w:szCs w:val="28"/>
        </w:rPr>
        <w:t xml:space="preserve"> maxilla, zygomatic bone, </w:t>
      </w:r>
      <w:r w:rsidRPr="00E02150">
        <w:rPr>
          <w:rFonts w:asciiTheme="majorBidi" w:hAnsiTheme="majorBidi" w:cstheme="majorBidi"/>
          <w:color w:val="000000"/>
          <w:sz w:val="28"/>
          <w:szCs w:val="28"/>
        </w:rPr>
        <w:t xml:space="preserve">and part of the </w:t>
      </w:r>
      <w:r w:rsidRPr="00E02150">
        <w:rPr>
          <w:rFonts w:asciiTheme="majorBidi" w:hAnsiTheme="majorBidi" w:cstheme="majorBidi"/>
          <w:b/>
          <w:bCs/>
          <w:color w:val="000000"/>
          <w:sz w:val="28"/>
          <w:szCs w:val="28"/>
        </w:rPr>
        <w:t>temporal bone.</w:t>
      </w:r>
      <w:r w:rsidRPr="00E02150">
        <w:rPr>
          <w:rFonts w:asciiTheme="majorBidi" w:hAnsiTheme="majorBidi" w:cstheme="majorBidi"/>
          <w:color w:val="000000"/>
          <w:sz w:val="28"/>
          <w:szCs w:val="28"/>
        </w:rPr>
        <w:t xml:space="preserve"> The </w:t>
      </w:r>
      <w:r w:rsidRPr="00E02150">
        <w:rPr>
          <w:rFonts w:asciiTheme="majorBidi" w:hAnsiTheme="majorBidi" w:cstheme="majorBidi"/>
          <w:b/>
          <w:bCs/>
          <w:color w:val="000000"/>
          <w:sz w:val="28"/>
          <w:szCs w:val="28"/>
        </w:rPr>
        <w:t xml:space="preserve">mandible </w:t>
      </w:r>
      <w:r w:rsidRPr="00E02150">
        <w:rPr>
          <w:rFonts w:asciiTheme="majorBidi" w:hAnsiTheme="majorBidi" w:cstheme="majorBidi"/>
          <w:color w:val="000000"/>
          <w:sz w:val="28"/>
          <w:szCs w:val="28"/>
        </w:rPr>
        <w:t xml:space="preserve">is also formed of mesenchymal tissue surrounding Meckel’s cartilage. </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The maxillary process and Meckel’s cartilage are replaced by the maxilla and mandible, respectively, which develop by membranous ossification.</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 xml:space="preserve">Musculature of the first pharyngeal arch includes the </w:t>
      </w:r>
      <w:r w:rsidRPr="00E02150">
        <w:rPr>
          <w:rFonts w:asciiTheme="majorBidi" w:hAnsiTheme="majorBidi" w:cstheme="majorBidi"/>
          <w:b/>
          <w:bCs/>
          <w:color w:val="000000"/>
          <w:sz w:val="28"/>
          <w:szCs w:val="28"/>
        </w:rPr>
        <w:t xml:space="preserve">muscles of mastication </w:t>
      </w:r>
      <w:r w:rsidRPr="00E02150">
        <w:rPr>
          <w:rFonts w:asciiTheme="majorBidi" w:hAnsiTheme="majorBidi" w:cstheme="majorBidi"/>
          <w:color w:val="000000"/>
          <w:sz w:val="28"/>
          <w:szCs w:val="28"/>
        </w:rPr>
        <w:t xml:space="preserve">(temporalis, masseter, and pterygoids), </w:t>
      </w:r>
      <w:r w:rsidRPr="00E02150">
        <w:rPr>
          <w:rFonts w:asciiTheme="majorBidi" w:hAnsiTheme="majorBidi" w:cstheme="majorBidi"/>
          <w:b/>
          <w:bCs/>
          <w:color w:val="000000"/>
          <w:sz w:val="28"/>
          <w:szCs w:val="28"/>
        </w:rPr>
        <w:t xml:space="preserve">anterior belly of the digastric, mylohyoid, tensor tympani, </w:t>
      </w:r>
      <w:r w:rsidRPr="00E02150">
        <w:rPr>
          <w:rFonts w:asciiTheme="majorBidi" w:hAnsiTheme="majorBidi" w:cstheme="majorBidi"/>
          <w:color w:val="000000"/>
          <w:sz w:val="28"/>
          <w:szCs w:val="28"/>
        </w:rPr>
        <w:t xml:space="preserve">and </w:t>
      </w:r>
      <w:r w:rsidRPr="00E02150">
        <w:rPr>
          <w:rFonts w:asciiTheme="majorBidi" w:hAnsiTheme="majorBidi" w:cstheme="majorBidi"/>
          <w:b/>
          <w:bCs/>
          <w:color w:val="000000"/>
          <w:sz w:val="28"/>
          <w:szCs w:val="28"/>
        </w:rPr>
        <w:t xml:space="preserve">tensor palatini. </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b/>
          <w:bCs/>
          <w:color w:val="000000"/>
          <w:sz w:val="28"/>
          <w:szCs w:val="28"/>
        </w:rPr>
      </w:pPr>
      <w:r w:rsidRPr="00E02150">
        <w:rPr>
          <w:rFonts w:asciiTheme="majorBidi" w:hAnsiTheme="majorBidi" w:cstheme="majorBidi"/>
          <w:color w:val="000000"/>
          <w:sz w:val="28"/>
          <w:szCs w:val="28"/>
        </w:rPr>
        <w:t xml:space="preserve">The </w:t>
      </w:r>
      <w:r w:rsidRPr="00E02150">
        <w:rPr>
          <w:rFonts w:asciiTheme="majorBidi" w:hAnsiTheme="majorBidi" w:cstheme="majorBidi"/>
          <w:b/>
          <w:bCs/>
          <w:color w:val="000000"/>
          <w:sz w:val="28"/>
          <w:szCs w:val="28"/>
        </w:rPr>
        <w:t xml:space="preserve">nerve </w:t>
      </w:r>
      <w:r w:rsidRPr="00E02150">
        <w:rPr>
          <w:rFonts w:asciiTheme="majorBidi" w:hAnsiTheme="majorBidi" w:cstheme="majorBidi"/>
          <w:color w:val="000000"/>
          <w:sz w:val="28"/>
          <w:szCs w:val="28"/>
        </w:rPr>
        <w:t xml:space="preserve">supply to the muscles is provided by the </w:t>
      </w:r>
      <w:r w:rsidRPr="00E02150">
        <w:rPr>
          <w:rFonts w:asciiTheme="majorBidi" w:hAnsiTheme="majorBidi" w:cstheme="majorBidi"/>
          <w:b/>
          <w:bCs/>
          <w:color w:val="000000"/>
          <w:sz w:val="28"/>
          <w:szCs w:val="28"/>
        </w:rPr>
        <w:t>mandibular branch of the trigeminal nerve</w:t>
      </w:r>
      <w:r w:rsidRPr="00E02150">
        <w:rPr>
          <w:rFonts w:asciiTheme="majorBidi" w:hAnsiTheme="majorBidi" w:cstheme="majorBidi"/>
          <w:color w:val="000000"/>
          <w:sz w:val="28"/>
          <w:szCs w:val="28"/>
        </w:rPr>
        <w:t>. Sensory supply to the skin of the face is provided by</w:t>
      </w:r>
      <w:r w:rsidRPr="00E02150">
        <w:rPr>
          <w:rFonts w:asciiTheme="majorBidi" w:hAnsiTheme="majorBidi" w:cstheme="majorBidi"/>
          <w:b/>
          <w:bCs/>
          <w:color w:val="000000"/>
          <w:sz w:val="28"/>
          <w:szCs w:val="28"/>
        </w:rPr>
        <w:t xml:space="preserve"> ophthalmic, maxillary, </w:t>
      </w:r>
      <w:r w:rsidRPr="00E02150">
        <w:rPr>
          <w:rFonts w:asciiTheme="majorBidi" w:hAnsiTheme="majorBidi" w:cstheme="majorBidi"/>
          <w:color w:val="000000"/>
          <w:sz w:val="28"/>
          <w:szCs w:val="28"/>
        </w:rPr>
        <w:t xml:space="preserve">and </w:t>
      </w:r>
      <w:r w:rsidRPr="00E02150">
        <w:rPr>
          <w:rFonts w:asciiTheme="majorBidi" w:hAnsiTheme="majorBidi" w:cstheme="majorBidi"/>
          <w:b/>
          <w:bCs/>
          <w:color w:val="000000"/>
          <w:sz w:val="28"/>
          <w:szCs w:val="28"/>
        </w:rPr>
        <w:t>mandibular branches of the trigeminal nerve.</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b/>
          <w:bCs/>
          <w:color w:val="000000"/>
          <w:sz w:val="28"/>
          <w:szCs w:val="28"/>
        </w:rPr>
        <w:t>Blood supply; aortic</w:t>
      </w:r>
      <w:r w:rsidRPr="00E02150">
        <w:rPr>
          <w:rFonts w:asciiTheme="majorBidi" w:hAnsiTheme="majorBidi" w:cstheme="majorBidi"/>
          <w:color w:val="000000"/>
          <w:sz w:val="28"/>
          <w:szCs w:val="28"/>
        </w:rPr>
        <w:t xml:space="preserve"> arch disappear leaving maxillary artery. </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7030A0"/>
          <w:sz w:val="28"/>
          <w:szCs w:val="28"/>
        </w:rPr>
      </w:pPr>
      <w:r w:rsidRPr="00E02150">
        <w:rPr>
          <w:rFonts w:asciiTheme="majorBidi" w:hAnsiTheme="majorBidi" w:cstheme="majorBidi"/>
          <w:color w:val="7030A0"/>
          <w:sz w:val="28"/>
          <w:szCs w:val="28"/>
        </w:rPr>
        <w:t>Second pharyngeal arch (the hyoid arch)</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The cartilage (</w:t>
      </w:r>
      <w:r w:rsidRPr="00E02150">
        <w:rPr>
          <w:rFonts w:asciiTheme="majorBidi" w:hAnsiTheme="majorBidi" w:cstheme="majorBidi"/>
          <w:b/>
          <w:bCs/>
          <w:color w:val="000000"/>
          <w:sz w:val="28"/>
          <w:szCs w:val="28"/>
        </w:rPr>
        <w:t>Reichert’s cartilage</w:t>
      </w:r>
      <w:r w:rsidRPr="00E02150">
        <w:rPr>
          <w:rFonts w:asciiTheme="majorBidi" w:hAnsiTheme="majorBidi" w:cstheme="majorBidi"/>
          <w:color w:val="000000"/>
          <w:sz w:val="28"/>
          <w:szCs w:val="28"/>
        </w:rPr>
        <w:t xml:space="preserve">) gives rise to the </w:t>
      </w:r>
      <w:r w:rsidRPr="00E02150">
        <w:rPr>
          <w:rFonts w:asciiTheme="majorBidi" w:hAnsiTheme="majorBidi" w:cstheme="majorBidi"/>
          <w:b/>
          <w:bCs/>
          <w:color w:val="000000"/>
          <w:sz w:val="28"/>
          <w:szCs w:val="28"/>
        </w:rPr>
        <w:t>stapes, styloid process of the temporal bone, stylohyoid</w:t>
      </w:r>
      <w:r w:rsidRPr="00E02150">
        <w:rPr>
          <w:rFonts w:asciiTheme="majorBidi" w:hAnsiTheme="majorBidi" w:cstheme="majorBidi"/>
          <w:color w:val="000000"/>
          <w:sz w:val="28"/>
          <w:szCs w:val="28"/>
        </w:rPr>
        <w:t xml:space="preserve"> </w:t>
      </w:r>
      <w:r w:rsidRPr="00E02150">
        <w:rPr>
          <w:rFonts w:asciiTheme="majorBidi" w:hAnsiTheme="majorBidi" w:cstheme="majorBidi"/>
          <w:b/>
          <w:bCs/>
          <w:color w:val="000000"/>
          <w:sz w:val="28"/>
          <w:szCs w:val="28"/>
        </w:rPr>
        <w:t>ligament, and part of the</w:t>
      </w:r>
      <w:r w:rsidRPr="00E02150">
        <w:rPr>
          <w:rFonts w:asciiTheme="majorBidi" w:hAnsiTheme="majorBidi" w:cstheme="majorBidi"/>
          <w:color w:val="000000"/>
          <w:sz w:val="28"/>
          <w:szCs w:val="28"/>
        </w:rPr>
        <w:t xml:space="preserve"> </w:t>
      </w:r>
      <w:r w:rsidRPr="00E02150">
        <w:rPr>
          <w:rFonts w:asciiTheme="majorBidi" w:hAnsiTheme="majorBidi" w:cstheme="majorBidi"/>
          <w:b/>
          <w:bCs/>
          <w:color w:val="000000"/>
          <w:sz w:val="28"/>
          <w:szCs w:val="28"/>
        </w:rPr>
        <w:t>hyoid bone.</w:t>
      </w:r>
      <w:r w:rsidRPr="00E02150">
        <w:rPr>
          <w:rFonts w:asciiTheme="majorBidi" w:hAnsiTheme="majorBidi" w:cstheme="majorBidi"/>
          <w:color w:val="000000"/>
          <w:sz w:val="28"/>
          <w:szCs w:val="28"/>
        </w:rPr>
        <w:t xml:space="preserve"> </w:t>
      </w: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p>
    <w:p w:rsidR="00B34BE6" w:rsidRPr="00E02150" w:rsidRDefault="00B34BE6" w:rsidP="00B34BE6">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 xml:space="preserve">Muscles are the </w:t>
      </w:r>
      <w:r w:rsidRPr="00E02150">
        <w:rPr>
          <w:rFonts w:asciiTheme="majorBidi" w:hAnsiTheme="majorBidi" w:cstheme="majorBidi"/>
          <w:b/>
          <w:bCs/>
          <w:color w:val="000000"/>
          <w:sz w:val="28"/>
          <w:szCs w:val="28"/>
        </w:rPr>
        <w:t xml:space="preserve">stapedius, stylohyoid, posterior belly of the digastric, auricular, and muscles of facial expression. </w:t>
      </w:r>
      <w:r w:rsidRPr="00E02150">
        <w:rPr>
          <w:rFonts w:asciiTheme="majorBidi" w:hAnsiTheme="majorBidi" w:cstheme="majorBidi"/>
          <w:color w:val="000000"/>
          <w:sz w:val="28"/>
          <w:szCs w:val="28"/>
        </w:rPr>
        <w:t xml:space="preserve">The </w:t>
      </w:r>
      <w:r w:rsidRPr="00E02150">
        <w:rPr>
          <w:rFonts w:asciiTheme="majorBidi" w:hAnsiTheme="majorBidi" w:cstheme="majorBidi"/>
          <w:b/>
          <w:bCs/>
          <w:color w:val="000000"/>
          <w:sz w:val="28"/>
          <w:szCs w:val="28"/>
        </w:rPr>
        <w:t xml:space="preserve">facial nerve, </w:t>
      </w:r>
      <w:r w:rsidRPr="00E02150">
        <w:rPr>
          <w:rFonts w:asciiTheme="majorBidi" w:hAnsiTheme="majorBidi" w:cstheme="majorBidi"/>
          <w:color w:val="000000"/>
          <w:sz w:val="28"/>
          <w:szCs w:val="28"/>
        </w:rPr>
        <w:t>the nerve of the second arch, supplies all of these muscles. Aortic arch disappear leaving stapedial artery.</w:t>
      </w:r>
    </w:p>
    <w:p w:rsidR="006C2851" w:rsidRDefault="006C2851" w:rsidP="00B34BE6">
      <w:pPr>
        <w:rPr>
          <w:lang w:bidi="ar-IQ"/>
        </w:rPr>
      </w:pPr>
    </w:p>
    <w:sectPr w:rsidR="006C2851" w:rsidSect="00181E1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6F6"/>
    <w:rsid w:val="001036F6"/>
    <w:rsid w:val="00181E1E"/>
    <w:rsid w:val="006C2851"/>
    <w:rsid w:val="00B34BE6"/>
    <w:rsid w:val="00D71E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04F79"/>
  <w15:chartTrackingRefBased/>
  <w15:docId w15:val="{308B3FBD-F411-4D7B-9EDB-E5705FFE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BE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19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611</Words>
  <Characters>3489</Characters>
  <Application>Microsoft Office Word</Application>
  <DocSecurity>0</DocSecurity>
  <Lines>29</Lines>
  <Paragraphs>8</Paragraphs>
  <ScaleCrop>false</ScaleCrop>
  <Company>SACC</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4</cp:revision>
  <dcterms:created xsi:type="dcterms:W3CDTF">2023-09-03T10:55:00Z</dcterms:created>
  <dcterms:modified xsi:type="dcterms:W3CDTF">2023-09-03T11:52:00Z</dcterms:modified>
</cp:coreProperties>
</file>